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
<Relationships xmlns="http://schemas.openxmlformats.org/package/2006/relationships">
<Relationship Id="rId1" Target="docProps/app.xml" Type="http://schemas.openxmlformats.org/officeDocument/2006/relationships/extended-properties"/>
<Relationship Id="rId2" Target="docProps/core.xml" Type="http://schemas.openxmlformats.org/package/2006/relationships/metadata/core-properties"/>
<Relationship Id="rId3" Target="docProps/custom.xml" Type="http://schemas.openxmlformats.org/officeDocument/2006/relationships/custom-properties"/>
<Relationship Id="rId4" Target="word/document.xml" Type="http://schemas.openxmlformats.org/officeDocument/2006/relationships/officeDocument"/>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88D7DC1">
      <w:pPr>
        <w:rPr>
          <w:rFonts w:eastAsia="仿宋_GB2312"/>
          <w:sz w:val="30"/>
        </w:rPr>
      </w:pPr>
    </w:p>
    <w:p w14:paraId="2A6F3B9F">
      <w:pPr>
        <w:spacing w:line="360" w:lineRule="auto"/>
        <w:jc w:val="center"/>
        <w:rPr>
          <w:rFonts w:ascii="黑体" w:hAnsi="黑体" w:eastAsia="黑体"/>
          <w:sz w:val="32"/>
          <w:szCs w:val="32"/>
        </w:rPr>
      </w:pPr>
      <w:r>
        <w:rPr>
          <w:rFonts w:hint="eastAsia" w:ascii="黑体" w:hAnsi="黑体" w:eastAsia="黑体"/>
          <w:sz w:val="32"/>
          <w:szCs w:val="32"/>
        </w:rPr>
        <w:t>苏州市市级预算部门（单位）整体支出预算绩效自评报告</w:t>
      </w:r>
    </w:p>
    <w:p w14:paraId="4A05E983">
      <w:pPr>
        <w:spacing w:line="360" w:lineRule="auto"/>
        <w:jc w:val="center"/>
        <w:rPr>
          <w:rFonts w:ascii="黑体" w:eastAsia="黑体"/>
          <w:sz w:val="32"/>
          <w:szCs w:val="32"/>
        </w:rPr>
      </w:pPr>
      <w:r>
        <w:rPr>
          <w:rFonts w:hint="eastAsia" w:ascii="黑体" w:eastAsia="黑体"/>
          <w:sz w:val="32"/>
          <w:szCs w:val="32"/>
        </w:rPr>
        <w:t>（202</w:t>
      </w:r>
      <w:r>
        <w:rPr>
          <w:rFonts w:hint="eastAsia" w:ascii="黑体" w:eastAsia="黑体"/>
          <w:sz w:val="32"/>
          <w:szCs w:val="32"/>
          <w:lang w:val="en-US" w:eastAsia="zh-CN"/>
        </w:rPr>
        <w:t>5</w:t>
      </w:r>
      <w:bookmarkStart w:id="0" w:name="_GoBack"/>
      <w:bookmarkEnd w:id="0"/>
      <w:r>
        <w:rPr>
          <w:rFonts w:hint="eastAsia" w:ascii="黑体" w:eastAsia="黑体"/>
          <w:sz w:val="32"/>
          <w:szCs w:val="32"/>
        </w:rPr>
        <w:t>年度）</w:t>
      </w:r>
    </w:p>
    <w:p w14:paraId="2D0D461F">
      <w:pPr>
        <w:spacing w:line="360" w:lineRule="auto"/>
        <w:jc w:val="center"/>
        <w:rPr>
          <w:rFonts w:eastAsia="仿宋_GB2312"/>
          <w:sz w:val="30"/>
        </w:rPr>
      </w:pPr>
    </w:p>
    <w:p w14:paraId="0B85D768">
      <w:pPr>
        <w:spacing w:line="360" w:lineRule="auto"/>
        <w:ind w:firstLine="600" w:firstLineChars="200"/>
        <w:rPr>
          <w:rFonts w:ascii="黑体" w:hAnsi="黑体" w:eastAsia="黑体"/>
          <w:sz w:val="30"/>
        </w:rPr>
      </w:pPr>
      <w:r>
        <w:rPr>
          <w:rFonts w:hint="eastAsia" w:ascii="黑体" w:hAnsi="黑体" w:eastAsia="黑体"/>
          <w:sz w:val="30"/>
        </w:rPr>
        <w:t>一、预算部门名称：</w:t>
      </w:r>
      <w:r>
        <w:rPr>
          <w:rFonts w:hint="eastAsia" w:ascii="宋体" w:hAnsi="宋体" w:cs="宋体"/>
          <w:sz w:val="24"/>
        </w:rPr>
        <w:t>苏州市科技服务中心</w:t>
      </w:r>
    </w:p>
    <w:p w14:paraId="58F772EF">
      <w:pPr>
        <w:spacing w:line="360" w:lineRule="auto"/>
        <w:ind w:firstLine="600" w:firstLineChars="200"/>
        <w:rPr>
          <w:rFonts w:ascii="黑体" w:hAnsi="黑体" w:eastAsia="黑体"/>
          <w:sz w:val="30"/>
        </w:rPr>
      </w:pPr>
      <w:r>
        <w:rPr>
          <w:rFonts w:hint="eastAsia" w:ascii="黑体" w:hAnsi="黑体" w:eastAsia="黑体"/>
          <w:sz w:val="30"/>
        </w:rPr>
        <w:t>二、</w:t>
      </w:r>
      <w:r>
        <w:rPr>
          <w:rFonts w:ascii="黑体" w:hAnsi="黑体" w:eastAsia="黑体"/>
          <w:sz w:val="30"/>
        </w:rPr>
        <w:t>年度履职目标完成情况</w:t>
      </w:r>
      <w:r>
        <w:rPr>
          <w:rFonts w:hint="eastAsia" w:ascii="黑体" w:hAnsi="黑体" w:eastAsia="黑体"/>
          <w:sz w:val="30"/>
        </w:rPr>
        <w:t>：</w:t>
      </w:r>
    </w:p>
    <w:p w14:paraId="612F7DFF">
      <w:pPr>
        <w:spacing w:line="360" w:lineRule="auto"/>
        <w:ind w:firstLine="480" w:firstLineChars="200"/>
        <w:rPr>
          <w:rFonts w:ascii="宋体" w:hAnsi="宋体" w:cs="宋体"/>
          <w:sz w:val="24"/>
        </w:rPr>
      </w:pPr>
      <w:r>
        <w:rPr>
          <w:rFonts w:hint="eastAsia" w:ascii="宋体" w:hAnsi="宋体" w:cs="宋体"/>
          <w:sz w:val="24"/>
        </w:rPr>
        <w:t>1.科技情报服务：围绕半导体集成电路、具身智能、人工智能、先进材料、航空航天等领域，开展重点产业研究，完成产业报告6篇，其中2篇分别获省科技情报学会科技情报成果一等奖、优秀奖；完成产业链数据标引2000条，整理形成相关产业链基础信息库；市科技咨询服务平台数据总量超3000万条，会员约5000家，年访问量约2万次，开展各类情报咨询服务约500家次。完成《2024年度苏州科技纵览》编撰工作。2.科技人才服务：全年受理各级各类科技人才项目超1200项，组织人才各类政策解答服务企业超1000家次；做好苏州市领军人才联合会日常管理工作，深化“翼企·引”、“翼企·融”、“翼企·链”、“翼企·情”4大系列服务品牌和1个领军人才梯度培育营的“4+1”服务格局，累计举办人才沙龙、政策咨询、金融对接等服务活动60余场，参与人次达3500余位。3.创新创业服务：组织发布2025苏州青年科学家，共计发布苏州青年科学家20位；组团参加2025中国海外人才交流大会，吸引300余位海外人才、政府单位、科研机构等人员参观交流；开创“+银行”、“+创投”深度服务范式，为10余家人才企业提供了量身定制的综合金融解决方案，为40余家人才企业提供股权融资和产业对接的多元化需求；保障苏州市双创中心正常运营，全年保障会议活动超200场；保障市双创中心线上服务平台运行，做好运维管理工作。4.科技项目服务：全年受理各级各类科技项目近2000项，做好科技项目受理、形式审查、组织评审、实地考察、中期检查、合同管理等工作；完成科技项目专家库维护工作，为项目评审提供有力支撑；完成40家单位的实验动物许可证年检工作，受理4家单位的新证申请，配合开展45家企业许可证事中事后监管等工作。5.科技统计服务：完成国家、省、市三级50小类科技统计与监测工作，汇总、审核企业报表近2万家次；完成《2024年度苏州市科技统计数据汇编》编撰等工作；完成相关统计分析工作。6.科技评估服务：做好国家、省、市级科技计划项目的中期检查、滚动支持、结题验收等工作，全年举办各类评审、论证、验收及培训会议等超40场。7.科技信息化服务：开展安全检查、等保测评、应急演练、日常维护等安全保障与信息化管理工作；启动科技枢纽2期项目建设，累计完成21个大类46个子类别的计划项目开通申报工作，并为科技项目在线管理提供技术支持。</w:t>
      </w:r>
    </w:p>
    <w:p w14:paraId="5F3839C4">
      <w:pPr>
        <w:spacing w:line="360" w:lineRule="auto"/>
        <w:ind w:left="600"/>
        <w:rPr>
          <w:rFonts w:ascii="黑体" w:hAnsi="黑体" w:eastAsia="黑体"/>
          <w:sz w:val="30"/>
        </w:rPr>
      </w:pPr>
      <w:r>
        <w:rPr>
          <w:rFonts w:hint="eastAsia" w:ascii="黑体" w:hAnsi="黑体" w:eastAsia="黑体"/>
          <w:sz w:val="30"/>
        </w:rPr>
        <w:t>三、部门（单位）概况</w:t>
      </w:r>
    </w:p>
    <w:p w14:paraId="7D338969">
      <w:pPr>
        <w:spacing w:line="360" w:lineRule="auto"/>
        <w:ind w:firstLine="480" w:firstLineChars="200"/>
        <w:rPr>
          <w:rFonts w:ascii="宋体" w:hAnsi="宋体" w:cs="宋体"/>
          <w:sz w:val="24"/>
        </w:rPr>
      </w:pPr>
      <w:r>
        <w:rPr>
          <w:rFonts w:hint="eastAsia" w:ascii="宋体" w:hAnsi="宋体" w:cs="宋体"/>
          <w:sz w:val="24"/>
        </w:rPr>
        <w:t>苏州市科技服务中心（姑苏人才计划服务中心、苏州市科技情报研究所）是市科学技术局直属公益一类副处级全额拨款事业单位，主要从事科技情报服务与产业研究、科技人才服务、市双创中心建设与运营管理、科技项目受理及评审、科技统计与分析研究、科技评估与评价、科技信息化建设与运维等工作。主要职能包括：1.承担国家、省、市级科技人才项目的申报受理及评审的组织工作。负责科技领军人才的联络、咨询及立项项目的考察等工作；做好人才企业的科技政策咨询、人才沙龙等相关工作。协助做好《苏州市高层次人才享受生活待遇暂行办法》等人才政策的咨询工作；负责苏州市领军人才联合会日常管理等工作。2.承担国家、省、市科技项目的申报受理、形式审查、专家邀请、合同管理等工作；承担市级科技项目评审、省级科技项目初评的组织工作；负责技术先进型服务企业等申报受理工作。3.承担国家、省、市科技统计工作；开展相关专项统计工作；负责《苏州市科技统计数据汇编》编辑出版工作；开展科技统计分析研究工作。4.组织开展科技政策、新兴产业发展、技术预测、专利分析、竞争情报等研究工作；开展科技服务业研究工作；承担科技咨询服务平台建设工作；负责科技文献资源的收集、整理、加工等工作；开展科技查新、成果评价、定题检索、标准有效性查证、原文传递、论文收录及引用查询等科技服务工作。5.负责科技系统信息化技术支撑及运行维护等工作；承担市科技局门户网站建设相关工作；负责科技计划项目管理系统的开发、运行、维护和培训等工作；负责科技咨询服务平台维护工作。6.承担市级科技计划项目的评估评价管理工作；负责科技计划项目的中期检查、滚动支持、结题验收等工作；承担实验动物生产及使用许可证的申报、年检工作，组织开展实验动物从业人员上岗资格培训和考试工作；负责市科技进步奖、内外资研发机构等申报受理工作，负责专家库建设与维护工作。7.承担苏州市双创中心建设和运营管理工作；承担苏州市双创中心线上服务平台建设和运维工作；为创业团队提供工商企业注册、创新创业培训指导、科技政策解读等服务。本单位内设科室8个，包括办公室、科技情报科（产业促进科）、科技人才科、科技评估科（项目服务科）、高新技术服务科、科技统计科、科技信息科、双创服务科。本单位无下属单位。2025年底，服务中心事业编制43名，在职42人；公益性编制4名，在职4人。</w:t>
      </w:r>
    </w:p>
    <w:p w14:paraId="201729EA">
      <w:pPr>
        <w:spacing w:line="360" w:lineRule="auto"/>
        <w:ind w:left="600"/>
        <w:rPr>
          <w:rFonts w:ascii="黑体" w:hAnsi="黑体" w:eastAsia="黑体"/>
          <w:sz w:val="30"/>
        </w:rPr>
      </w:pPr>
      <w:r>
        <w:rPr>
          <w:rFonts w:hint="eastAsia" w:ascii="黑体" w:hAnsi="黑体" w:eastAsia="黑体"/>
          <w:sz w:val="30"/>
        </w:rPr>
        <w:t>四、部门</w:t>
      </w:r>
      <w:r>
        <w:rPr>
          <w:rFonts w:ascii="黑体" w:hAnsi="黑体" w:eastAsia="黑体"/>
          <w:sz w:val="30"/>
        </w:rPr>
        <w:t>（</w:t>
      </w:r>
      <w:r>
        <w:rPr>
          <w:rFonts w:hint="eastAsia" w:ascii="黑体" w:hAnsi="黑体" w:eastAsia="黑体"/>
          <w:sz w:val="30"/>
        </w:rPr>
        <w:t>单位</w:t>
      </w:r>
      <w:r>
        <w:rPr>
          <w:rFonts w:ascii="黑体" w:hAnsi="黑体" w:eastAsia="黑体"/>
          <w:sz w:val="30"/>
        </w:rPr>
        <w:t>）</w:t>
      </w:r>
      <w:r>
        <w:rPr>
          <w:rFonts w:hint="eastAsia" w:ascii="黑体" w:hAnsi="黑体" w:eastAsia="黑体"/>
          <w:sz w:val="30"/>
        </w:rPr>
        <w:t>整体支出绩效实现情况</w:t>
      </w:r>
    </w:p>
    <w:p w14:paraId="7D81C34A">
      <w:pPr>
        <w:spacing w:line="360" w:lineRule="auto"/>
        <w:ind w:firstLine="480" w:firstLineChars="200"/>
        <w:rPr>
          <w:rFonts w:ascii="宋体" w:hAnsi="宋体" w:cs="宋体"/>
          <w:sz w:val="24"/>
        </w:rPr>
      </w:pPr>
      <w:r>
        <w:rPr>
          <w:rFonts w:hint="eastAsia" w:ascii="宋体" w:hAnsi="宋体" w:cs="宋体"/>
          <w:sz w:val="24"/>
        </w:rPr>
        <w:t>1.中心按要求在规定时间内完成了部门整体支出预算、绩效目标的编制与申报，并如期完成决算报表；按要求在规定时间内在市科技局网站、预决算统一平台公示相关信息。2.不断建立和完善各项规章制度，2025年1月发布新修订的绩效工资分配方案，并积极做好宣传和解释工作；严格执行经费支出审批制度，紧盯用款、报销等关键环节，防范财务管理风险。3.承接局机关职能延伸。一是科技项目服务：受理各级各类科技项目近2000项、人才项目超1200项、审核外国人来华工作许可7147件，举办各类评审、论证、验收及培训会议等超40场，配合做好项目受理、形式审查、组织评审、实地考察、中期检查、项目验收、合同管理等相关工作；加强专家库的动态管理与结构优化，2025年度增补各领域专家688位，导入省科技厅产业专家314名，目前在库专家共计8161人。二是统计分析服务：完成国家、省、市三大类50小类科技统计工作，累计汇总、整理、审核表格近2万家次；完成《2024年度苏州市科技统计数据汇编》编撰等工作；完成相关统计分析工作。三是科技信息化服务：启动科技枢纽2期项目建设，累计完成21个大类46个子类别的计划项目开通申报工作，根据数字政府建设要求进行功能优化等，并为科技项目在线管理提供技术支持；开展安全检查、等保测评、应急演练、日常维护等安全保障与信息化管理工作；做好苏创荟APP建设等工作。四是实验动物管理：完成40家单位的实验动物许可证年检工作，受理4家单位的新证申请，配合开展45家企业许可证事中事后监管，完成10家单位的实验动物质量检测与9家单位的实验动物环境抽检工作。4.科技情报服务。围绕半导体集成电路、具身智能、人工智能、先进材料、航空航天等领域，开展重点产业研究，通过调研走访、系统梳理、分析研究，完成产业报告6篇，其中2篇分别获省科技情报学会科技情报成果一等奖、优秀奖。聚焦“1030”重点产业，积极联动产业专家、行业智库，搜集整理前沿技术、产业要闻、政策动态等信息，完成产业动态共计24期。对瞪羚企业、独角兽企业、创新联合体、工程技术研究中心、新型研发机构等10余类新增数据源及2024-2025年新增信息进行筛选标记，完成产业链数据标引2000条，整理形成相关产业链基础信息库，并持续进行更新。推进市科技咨询服务平台更新改版，目前平台会员约5000家，年访问量约2万次，受理各类情报咨询服务500项。完成《2024年度苏州科技纵览》编撰工作。5.科技人才服务。依托市领军人才联合会，持续深化“翼企·引”、“翼企·融”、“翼企·链”、“翼企·情”4大系列服务品牌和1个领军人才梯度培育营的“4+1”服务格局，累计举办人才沙龙、政策咨询、金融对接等60余场，参与人次达3500余位。6.创新创业服务。组织发布2025苏州青年科学家，共计发布苏州青年科学家20位。组团参加2025中国海外人才交流大会，吸引300余位海外人才、政府单位、科研机构等人员参观交流。积极构建开放协同的金融服务生态，开创“+银行”、“+创投”深度服务范式，为10余家人才企业提供了量身定制的综合金融解决方案，为40余家人才企业提供股权融资和产业对接的多元化需求。保障双创中心正常运营，全年服务会议活动超200场，总服务人数超1万人次。市双创中心线上服务平台正常运行，做好运维管理工作。</w:t>
      </w:r>
    </w:p>
    <w:p w14:paraId="1B2DC329">
      <w:pPr>
        <w:spacing w:line="360" w:lineRule="auto"/>
        <w:ind w:left="600"/>
        <w:rPr>
          <w:rFonts w:ascii="黑体" w:hAnsi="黑体" w:eastAsia="黑体"/>
          <w:sz w:val="30"/>
        </w:rPr>
      </w:pPr>
      <w:r>
        <w:rPr>
          <w:rFonts w:hint="eastAsia" w:ascii="黑体" w:hAnsi="黑体" w:eastAsia="黑体"/>
          <w:sz w:val="30"/>
        </w:rPr>
        <w:t>五、部门</w:t>
      </w:r>
      <w:r>
        <w:rPr>
          <w:rFonts w:ascii="黑体" w:hAnsi="黑体" w:eastAsia="黑体"/>
          <w:sz w:val="30"/>
        </w:rPr>
        <w:t>（</w:t>
      </w:r>
      <w:r>
        <w:rPr>
          <w:rFonts w:hint="eastAsia" w:ascii="黑体" w:hAnsi="黑体" w:eastAsia="黑体"/>
          <w:sz w:val="30"/>
        </w:rPr>
        <w:t>单位</w:t>
      </w:r>
      <w:r>
        <w:rPr>
          <w:rFonts w:ascii="黑体" w:hAnsi="黑体" w:eastAsia="黑体"/>
          <w:sz w:val="30"/>
        </w:rPr>
        <w:t>）</w:t>
      </w:r>
      <w:r>
        <w:rPr>
          <w:rFonts w:hint="eastAsia" w:ascii="黑体" w:hAnsi="黑体" w:eastAsia="黑体"/>
          <w:sz w:val="30"/>
        </w:rPr>
        <w:t>整体支出绩效中存</w:t>
      </w:r>
      <w:r>
        <w:rPr>
          <w:rFonts w:ascii="黑体" w:hAnsi="黑体" w:eastAsia="黑体"/>
          <w:sz w:val="30"/>
        </w:rPr>
        <w:t>在问题</w:t>
      </w:r>
      <w:r>
        <w:rPr>
          <w:rFonts w:hint="eastAsia" w:ascii="黑体" w:hAnsi="黑体" w:eastAsia="黑体"/>
          <w:sz w:val="30"/>
        </w:rPr>
        <w:t>及</w:t>
      </w:r>
      <w:r>
        <w:rPr>
          <w:rFonts w:ascii="黑体" w:hAnsi="黑体" w:eastAsia="黑体"/>
          <w:sz w:val="30"/>
        </w:rPr>
        <w:t>改进措施</w:t>
      </w:r>
    </w:p>
    <w:p w14:paraId="626F8FAD">
      <w:pPr>
        <w:spacing w:line="360" w:lineRule="auto"/>
        <w:ind w:firstLine="480" w:firstLineChars="200"/>
        <w:rPr>
          <w:rFonts w:ascii="宋体" w:hAnsi="宋体" w:cs="宋体"/>
          <w:sz w:val="24"/>
        </w:rPr>
      </w:pPr>
      <w:r>
        <w:rPr>
          <w:rFonts w:hint="eastAsia" w:ascii="宋体" w:hAnsi="宋体" w:cs="宋体"/>
          <w:sz w:val="24"/>
        </w:rPr>
        <w:t>2025年，中心支出绩效情况整体向好，各项工作成效显著，同时也存在个别项目预算执行率未达到100%等情况。具体如下：1.整体预算执行率为96.86%，未能达到100%。2025年，年初预算2062.35万元，上年度结转及当年预算追加500.94万元，当年调整预算2563.29万元，实际支出2482.81万元，预算执行率为96.86%，主要原因是年末用款计划退回指标。2.预算调整率为24.29%，主要原因是本年度追加基本支出人员经费和科技创新资金。</w:t>
      </w:r>
    </w:p>
    <w:p w14:paraId="088B966C">
      <w:pPr>
        <w:spacing w:line="360" w:lineRule="auto"/>
        <w:ind w:left="600"/>
        <w:rPr>
          <w:rFonts w:ascii="黑体" w:hAnsi="黑体" w:eastAsia="黑体"/>
          <w:sz w:val="30"/>
        </w:rPr>
      </w:pPr>
      <w:r>
        <w:rPr>
          <w:rFonts w:hint="eastAsia" w:ascii="黑体" w:hAnsi="黑体" w:eastAsia="黑体"/>
          <w:sz w:val="30"/>
        </w:rPr>
        <w:t>六、</w:t>
      </w:r>
      <w:r>
        <w:rPr>
          <w:rFonts w:ascii="黑体" w:hAnsi="黑体" w:eastAsia="黑体"/>
          <w:sz w:val="30"/>
        </w:rPr>
        <w:t>绩效自评</w:t>
      </w:r>
      <w:r>
        <w:rPr>
          <w:rFonts w:hint="eastAsia" w:ascii="黑体" w:hAnsi="黑体" w:eastAsia="黑体"/>
          <w:sz w:val="30"/>
        </w:rPr>
        <w:t>结果</w:t>
      </w:r>
      <w:r>
        <w:rPr>
          <w:rFonts w:ascii="黑体" w:hAnsi="黑体" w:eastAsia="黑体"/>
          <w:sz w:val="30"/>
        </w:rPr>
        <w:t>拟应用和公开</w:t>
      </w:r>
      <w:r>
        <w:rPr>
          <w:rFonts w:hint="eastAsia" w:ascii="黑体" w:hAnsi="黑体" w:eastAsia="黑体"/>
          <w:sz w:val="30"/>
        </w:rPr>
        <w:t>情况</w:t>
      </w:r>
    </w:p>
    <w:p w14:paraId="19BBA852">
      <w:pPr>
        <w:spacing w:line="360" w:lineRule="auto"/>
        <w:ind w:firstLine="480" w:firstLineChars="200"/>
        <w:rPr>
          <w:rFonts w:ascii="宋体" w:hAnsi="宋体" w:cs="宋体"/>
          <w:sz w:val="24"/>
        </w:rPr>
      </w:pPr>
      <w:r>
        <w:rPr>
          <w:rFonts w:hint="eastAsia" w:ascii="宋体" w:hAnsi="宋体" w:cs="宋体"/>
          <w:sz w:val="24"/>
        </w:rPr>
        <w:t>1.通过绩效自评，进一步掌握了资金使用情况和取得的效果，发现了工作中存在的问题和不足，为今后进一步加强资金使用管理、完善资金绩效管理、提高资金使用效益等工作提供了重要的参考依据。本自评结果拟用于今后苏州市科技服务中心整体支出预算、项目支出预算的申请和使用。2.将自评结果编入中心决算并依法在市科技局门户网站上予向社会公开，广泛接受群众监督。</w:t>
      </w:r>
    </w:p>
    <w:p w14:paraId="77536DBD">
      <w:pPr>
        <w:spacing w:line="360" w:lineRule="auto"/>
        <w:rPr>
          <w:rFonts w:ascii="黑体" w:hAnsi="黑体" w:eastAsia="黑体"/>
          <w:sz w:val="30"/>
        </w:rPr>
        <w:sectPr>
          <w:headerReference r:id="rId3" w:type="default"/>
          <w:footerReference r:id="rId5" w:type="default"/>
          <w:headerReference r:id="rId4" w:type="even"/>
          <w:footerReference r:id="rId6" w:type="even"/>
          <w:pgSz w:w="11907" w:h="16840"/>
          <w:pgMar w:top="1247" w:right="1400" w:bottom="1089" w:left="1559" w:header="851" w:footer="992" w:gutter="0"/>
          <w:paperSrc w:first="15" w:other="15"/>
          <w:cols w:space="720" w:num="1"/>
          <w:docGrid w:type="lines" w:linePitch="312" w:charSpace="0"/>
        </w:sectPr>
      </w:pPr>
    </w:p>
    <w:p w14:paraId="280D262C">
      <w:pPr>
        <w:numPr>
          <w:ilvl w:val="0"/>
          <w:numId w:val="1"/>
        </w:numPr>
        <w:spacing w:line="360" w:lineRule="auto"/>
        <w:ind w:left="600"/>
        <w:rPr>
          <w:rFonts w:ascii="黑体" w:hAnsi="黑体" w:eastAsia="黑体"/>
          <w:sz w:val="30"/>
        </w:rPr>
      </w:pPr>
      <w:r>
        <w:rPr>
          <w:rFonts w:hint="eastAsia" w:ascii="黑体" w:hAnsi="黑体" w:eastAsia="黑体"/>
          <w:sz w:val="30"/>
        </w:rPr>
        <w:t>预算信息</w:t>
      </w:r>
    </w:p>
    <w:p w14:paraId="6B7F7FE6">
      <w:pPr>
        <w:spacing w:line="360" w:lineRule="auto"/>
        <w:ind w:left="600"/>
        <w:rPr>
          <w:rFonts w:ascii="黑体" w:hAnsi="黑体" w:eastAsia="黑体"/>
          <w:sz w:val="30"/>
        </w:rPr>
      </w:pPr>
    </w:p>
    <w:tbl>
      <w:tblPr>
        <w:tblStyle w:val="5"/>
        <w:tblW w:w="1441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079"/>
        <w:gridCol w:w="2268"/>
        <w:gridCol w:w="2268"/>
        <w:gridCol w:w="2268"/>
        <w:gridCol w:w="2268"/>
        <w:gridCol w:w="2268"/>
      </w:tblGrid>
      <w:tr w14:paraId="7D632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trPr>
        <w:tc>
          <w:tcPr>
            <w:tcW w:w="3079" w:type="dxa"/>
            <w:shd w:val="clear" w:color="000000" w:fill="BFBFBF"/>
            <w:vAlign w:val="center"/>
          </w:tcPr>
          <w:p w14:paraId="4BC6E322">
            <w:pPr>
              <w:widowControl/>
              <w:jc w:val="center"/>
              <w:rPr>
                <w:rFonts w:ascii="宋体" w:hAnsi="宋体" w:cs="宋体"/>
                <w:b/>
                <w:bCs/>
                <w:kern w:val="0"/>
                <w:sz w:val="24"/>
              </w:rPr>
            </w:pPr>
            <w:r>
              <w:rPr>
                <w:rFonts w:hint="eastAsia" w:ascii="宋体" w:hAnsi="宋体" w:cs="宋体"/>
                <w:b/>
                <w:bCs/>
                <w:kern w:val="0"/>
                <w:sz w:val="24"/>
              </w:rPr>
              <w:t>本年度预算资金（万元）</w:t>
            </w:r>
            <w:r>
              <w:rPr>
                <w:rFonts w:ascii="宋体" w:hAnsi="宋体" w:cs="宋体" w:eastAsia="宋体"/>
                <w:b w:val="true"/>
                <w:color w:val=""/>
                <w:sz w:val="24"/>
                <w:u w:val="none"/>
              </w:rPr>
              <w:t/>
            </w:r>
          </w:p>
        </w:tc>
        <w:tc>
          <w:tcPr>
            <w:tcW w:w="2268" w:type="dxa"/>
            <w:shd w:val="clear" w:color="000000" w:fill="BFBFBF"/>
            <w:vAlign w:val="center"/>
          </w:tcPr>
          <w:p w14:paraId="7E2E6F84">
            <w:pPr>
              <w:widowControl/>
              <w:jc w:val="center"/>
              <w:rPr>
                <w:rFonts w:ascii="宋体" w:hAnsi="宋体" w:cs="宋体"/>
                <w:b/>
                <w:bCs/>
                <w:kern w:val="0"/>
                <w:sz w:val="24"/>
              </w:rPr>
            </w:pPr>
            <w:r>
              <w:rPr>
                <w:rFonts w:hint="eastAsia" w:ascii="宋体" w:hAnsi="宋体" w:cs="宋体"/>
                <w:b/>
                <w:bCs/>
                <w:kern w:val="0"/>
                <w:sz w:val="24"/>
              </w:rPr>
              <w:t>年初预算数（万元）</w:t>
            </w:r>
          </w:p>
        </w:tc>
        <w:tc>
          <w:tcPr>
            <w:tcW w:w="2268" w:type="dxa"/>
            <w:shd w:val="clear" w:color="000000" w:fill="BFBFBF"/>
            <w:vAlign w:val="center"/>
          </w:tcPr>
          <w:p w14:paraId="74B8B6D4">
            <w:pPr>
              <w:widowControl/>
              <w:jc w:val="center"/>
              <w:rPr>
                <w:rFonts w:ascii="宋体" w:hAnsi="宋体" w:cs="宋体"/>
                <w:b/>
                <w:bCs/>
                <w:kern w:val="0"/>
                <w:sz w:val="24"/>
              </w:rPr>
            </w:pPr>
            <w:r>
              <w:rPr>
                <w:rFonts w:hint="eastAsia" w:ascii="宋体" w:hAnsi="宋体" w:cs="宋体"/>
                <w:b/>
                <w:bCs/>
                <w:kern w:val="0"/>
                <w:sz w:val="24"/>
              </w:rPr>
              <w:t>上年度结转及当年预算追加追减数(万元）</w:t>
            </w:r>
          </w:p>
        </w:tc>
        <w:tc>
          <w:tcPr>
            <w:tcW w:w="2268" w:type="dxa"/>
            <w:shd w:val="clear" w:color="000000" w:fill="BFBFBF"/>
            <w:vAlign w:val="center"/>
          </w:tcPr>
          <w:p w14:paraId="218C2C18">
            <w:pPr>
              <w:widowControl/>
              <w:jc w:val="center"/>
              <w:rPr>
                <w:rFonts w:ascii="宋体" w:hAnsi="宋体" w:cs="宋体"/>
                <w:b/>
                <w:bCs/>
                <w:kern w:val="0"/>
                <w:sz w:val="24"/>
              </w:rPr>
            </w:pPr>
            <w:r>
              <w:rPr>
                <w:rFonts w:hint="eastAsia" w:ascii="宋体" w:hAnsi="宋体" w:cs="宋体"/>
                <w:b/>
                <w:bCs/>
                <w:kern w:val="0"/>
                <w:sz w:val="24"/>
              </w:rPr>
              <w:t>调整预算数（万元）</w:t>
            </w:r>
          </w:p>
        </w:tc>
        <w:tc>
          <w:tcPr>
            <w:tcW w:w="2268" w:type="dxa"/>
            <w:shd w:val="clear" w:color="000000" w:fill="BFBFBF"/>
            <w:vAlign w:val="center"/>
          </w:tcPr>
          <w:p w14:paraId="6C2574C8">
            <w:pPr>
              <w:widowControl/>
              <w:jc w:val="center"/>
              <w:rPr>
                <w:rFonts w:ascii="宋体" w:hAnsi="宋体" w:cs="宋体"/>
                <w:b/>
                <w:bCs/>
                <w:kern w:val="0"/>
                <w:sz w:val="24"/>
              </w:rPr>
            </w:pPr>
            <w:r>
              <w:rPr>
                <w:rFonts w:hint="eastAsia" w:ascii="宋体" w:hAnsi="宋体" w:cs="宋体"/>
                <w:b/>
                <w:bCs/>
                <w:kern w:val="0"/>
                <w:sz w:val="24"/>
              </w:rPr>
              <w:t>实际支出数（万元）</w:t>
            </w:r>
          </w:p>
        </w:tc>
        <w:tc>
          <w:tcPr>
            <w:tcW w:w="2268" w:type="dxa"/>
            <w:shd w:val="clear" w:color="000000" w:fill="BFBFBF"/>
            <w:vAlign w:val="center"/>
          </w:tcPr>
          <w:p w14:paraId="3899CF22">
            <w:pPr>
              <w:widowControl/>
              <w:jc w:val="center"/>
              <w:rPr>
                <w:rFonts w:ascii="宋体" w:hAnsi="宋体" w:cs="宋体"/>
                <w:b/>
                <w:bCs/>
                <w:kern w:val="0"/>
                <w:sz w:val="24"/>
              </w:rPr>
            </w:pPr>
            <w:r>
              <w:rPr>
                <w:rFonts w:hint="eastAsia" w:ascii="宋体" w:hAnsi="宋体" w:cs="宋体"/>
                <w:b/>
                <w:bCs/>
                <w:kern w:val="0"/>
                <w:sz w:val="24"/>
              </w:rPr>
              <w:t>执行率（%)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c>
          <w:tcPr>
            <w:tcW w:w="3079" w:type="dxa"/>
            <w:vAlign w:val="center"/>
          </w:tcPr>
          <w:p>
            <w:pPr>
              <w:widowControl/>
              <w:jc w:val="left"/>
              <w:rPr>
                <w:rFonts w:ascii="宋体" w:hAnsi="宋体" w:cs="宋体"/>
                <w:kern w:val="0"/>
                <w:sz w:val="24"/>
              </w:rPr>
            </w:pPr>
            <w:r>
              <w:rPr>
                <w:rFonts w:hint="eastAsia" w:ascii="宋体" w:hAnsi="宋体" w:cs="宋体"/>
                <w:sz w:val="24"/>
              </w:rPr>
              <w:t>预算总金额</w:t>
            </w:r>
          </w:p>
        </w:tc>
        <w:tc>
          <w:tcPr>
            <w:tcW w:w="2268" w:type="dxa"/>
            <w:vAlign w:val="center"/>
          </w:tcPr>
          <w:p>
            <w:pPr>
              <w:widowControl/>
              <w:jc w:val="center"/>
              <w:rPr>
                <w:rFonts w:ascii="宋体" w:hAnsi="宋体" w:cs="宋体"/>
                <w:kern w:val="0"/>
                <w:sz w:val="24"/>
              </w:rPr>
            </w:pPr>
            <w:r>
              <w:rPr>
                <w:rFonts w:hint="eastAsia" w:ascii="宋体" w:hAnsi="宋体" w:cs="宋体"/>
                <w:sz w:val="24"/>
              </w:rPr>
              <w:t>2062.35</w:t>
            </w:r>
          </w:p>
        </w:tc>
        <w:tc>
          <w:tcPr>
            <w:tcW w:w="2268" w:type="dxa"/>
            <w:vAlign w:val="center"/>
          </w:tcPr>
          <w:p>
            <w:pPr>
              <w:widowControl/>
              <w:jc w:val="center"/>
              <w:rPr>
                <w:rFonts w:ascii="宋体" w:hAnsi="宋体" w:cs="宋体"/>
                <w:sz w:val="24"/>
              </w:rPr>
            </w:pPr>
            <w:r>
              <w:rPr>
                <w:rFonts w:hint="eastAsia" w:ascii="宋体" w:hAnsi="宋体" w:cs="宋体"/>
                <w:sz w:val="24"/>
              </w:rPr>
              <w:t>500.94</w:t>
            </w:r>
          </w:p>
        </w:tc>
        <w:tc>
          <w:tcPr>
            <w:tcW w:w="2268" w:type="dxa"/>
            <w:vAlign w:val="center"/>
          </w:tcPr>
          <w:p>
            <w:pPr>
              <w:widowControl/>
              <w:jc w:val="center"/>
              <w:rPr>
                <w:rFonts w:ascii="宋体" w:hAnsi="宋体" w:cs="宋体"/>
                <w:sz w:val="24"/>
              </w:rPr>
            </w:pPr>
            <w:r>
              <w:rPr>
                <w:rFonts w:hint="eastAsia" w:ascii="宋体" w:hAnsi="宋体" w:cs="宋体"/>
                <w:sz w:val="24"/>
              </w:rPr>
              <w:t>2563.29</w:t>
            </w:r>
          </w:p>
        </w:tc>
        <w:tc>
          <w:tcPr>
            <w:tcW w:w="2268" w:type="dxa"/>
            <w:vAlign w:val="center"/>
          </w:tcPr>
          <w:p>
            <w:pPr>
              <w:widowControl/>
              <w:jc w:val="center"/>
              <w:rPr>
                <w:rFonts w:ascii="宋体" w:hAnsi="宋体" w:cs="宋体"/>
                <w:sz w:val="24"/>
              </w:rPr>
            </w:pPr>
            <w:r>
              <w:rPr>
                <w:rFonts w:hint="eastAsia" w:ascii="宋体" w:hAnsi="宋体" w:cs="宋体"/>
                <w:sz w:val="24"/>
              </w:rPr>
              <w:t>2482.81</w:t>
            </w:r>
          </w:p>
        </w:tc>
        <w:tc>
          <w:tcPr>
            <w:tcW w:w="2268" w:type="dxa"/>
            <w:vAlign w:val="center"/>
          </w:tcPr>
          <w:p>
            <w:pPr>
              <w:widowControl/>
              <w:jc w:val="center"/>
              <w:rPr>
                <w:rFonts w:ascii="宋体" w:hAnsi="宋体" w:cs="宋体"/>
                <w:sz w:val="24"/>
              </w:rPr>
            </w:pPr>
            <w:r>
              <w:rPr>
                <w:rFonts w:hint="eastAsia" w:ascii="宋体" w:hAnsi="宋体" w:cs="宋体"/>
                <w:sz w:val="24"/>
              </w:rPr>
              <w:t>96.86%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c>
          <w:tcPr>
            <w:tcW w:w="3079" w:type="dxa"/>
            <w:vAlign w:val="center"/>
          </w:tcPr>
          <w:p>
            <w:pPr>
              <w:widowControl/>
              <w:jc w:val="left"/>
              <w:rPr>
                <w:rFonts w:ascii="宋体" w:hAnsi="宋体" w:cs="宋体"/>
                <w:kern w:val="0"/>
                <w:sz w:val="24"/>
              </w:rPr>
            </w:pPr>
            <w:r>
              <w:rPr>
                <w:rFonts w:hint="eastAsia" w:ascii="宋体" w:hAnsi="宋体" w:cs="宋体"/>
                <w:sz w:val="24"/>
              </w:rPr>
              <w:t>基本支出</w:t>
            </w:r>
          </w:p>
        </w:tc>
        <w:tc>
          <w:tcPr>
            <w:tcW w:w="2268" w:type="dxa"/>
            <w:vAlign w:val="center"/>
          </w:tcPr>
          <w:p>
            <w:pPr>
              <w:widowControl/>
              <w:jc w:val="center"/>
              <w:rPr>
                <w:rFonts w:ascii="宋体" w:hAnsi="宋体" w:cs="宋体"/>
                <w:kern w:val="0"/>
                <w:sz w:val="24"/>
              </w:rPr>
            </w:pPr>
            <w:r>
              <w:rPr>
                <w:rFonts w:hint="eastAsia" w:ascii="宋体" w:hAnsi="宋体" w:cs="宋体"/>
                <w:sz w:val="24"/>
              </w:rPr>
              <w:t>1670.41</w:t>
            </w:r>
          </w:p>
        </w:tc>
        <w:tc>
          <w:tcPr>
            <w:tcW w:w="2268" w:type="dxa"/>
            <w:vAlign w:val="center"/>
          </w:tcPr>
          <w:p>
            <w:pPr>
              <w:widowControl/>
              <w:jc w:val="center"/>
              <w:rPr>
                <w:rFonts w:ascii="宋体" w:hAnsi="宋体" w:cs="宋体"/>
                <w:sz w:val="24"/>
              </w:rPr>
            </w:pPr>
            <w:r>
              <w:rPr>
                <w:rFonts w:hint="eastAsia" w:ascii="宋体" w:hAnsi="宋体" w:cs="宋体"/>
                <w:sz w:val="24"/>
              </w:rPr>
              <w:t>330.06</w:t>
            </w:r>
          </w:p>
        </w:tc>
        <w:tc>
          <w:tcPr>
            <w:tcW w:w="2268" w:type="dxa"/>
            <w:vAlign w:val="center"/>
          </w:tcPr>
          <w:p>
            <w:pPr>
              <w:widowControl/>
              <w:jc w:val="center"/>
              <w:rPr>
                <w:rFonts w:ascii="宋体" w:hAnsi="宋体" w:cs="宋体"/>
                <w:sz w:val="24"/>
              </w:rPr>
            </w:pPr>
            <w:r>
              <w:rPr>
                <w:rFonts w:hint="eastAsia" w:ascii="宋体" w:hAnsi="宋体" w:cs="宋体"/>
                <w:sz w:val="24"/>
              </w:rPr>
              <w:t>2000.47</w:t>
            </w:r>
          </w:p>
        </w:tc>
        <w:tc>
          <w:tcPr>
            <w:tcW w:w="2268" w:type="dxa"/>
            <w:vAlign w:val="center"/>
          </w:tcPr>
          <w:p>
            <w:pPr>
              <w:widowControl/>
              <w:jc w:val="center"/>
              <w:rPr>
                <w:rFonts w:ascii="宋体" w:hAnsi="宋体" w:cs="宋体"/>
                <w:sz w:val="24"/>
              </w:rPr>
            </w:pPr>
            <w:r>
              <w:rPr>
                <w:rFonts w:hint="eastAsia" w:ascii="宋体" w:hAnsi="宋体" w:cs="宋体"/>
                <w:sz w:val="24"/>
              </w:rPr>
              <w:t>1938.61</w:t>
            </w:r>
          </w:p>
        </w:tc>
        <w:tc>
          <w:tcPr>
            <w:tcW w:w="2268" w:type="dxa"/>
            <w:vAlign w:val="center"/>
          </w:tcPr>
          <w:p>
            <w:pPr>
              <w:widowControl/>
              <w:jc w:val="center"/>
              <w:rPr>
                <w:rFonts w:ascii="宋体" w:hAnsi="宋体" w:cs="宋体"/>
                <w:sz w:val="24"/>
              </w:rPr>
            </w:pPr>
            <w:r>
              <w:rPr>
                <w:rFonts w:hint="eastAsia" w:ascii="宋体" w:hAnsi="宋体" w:cs="宋体"/>
                <w:sz w:val="24"/>
              </w:rPr>
              <w:t>96.91%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c>
          <w:tcPr>
            <w:tcW w:w="3079" w:type="dxa"/>
            <w:vAlign w:val="center"/>
          </w:tcPr>
          <w:p>
            <w:pPr>
              <w:widowControl/>
              <w:jc w:val="left"/>
              <w:rPr>
                <w:rFonts w:ascii="宋体" w:hAnsi="宋体" w:cs="宋体"/>
                <w:kern w:val="0"/>
                <w:sz w:val="24"/>
              </w:rPr>
            </w:pPr>
            <w:r>
              <w:rPr>
                <w:rFonts w:hint="eastAsia" w:ascii="宋体" w:hAnsi="宋体" w:cs="宋体"/>
                <w:sz w:val="24"/>
              </w:rPr>
              <w:t>项目支出</w:t>
            </w:r>
          </w:p>
        </w:tc>
        <w:tc>
          <w:tcPr>
            <w:tcW w:w="2268" w:type="dxa"/>
            <w:vAlign w:val="center"/>
          </w:tcPr>
          <w:p>
            <w:pPr>
              <w:widowControl/>
              <w:jc w:val="center"/>
              <w:rPr>
                <w:rFonts w:ascii="宋体" w:hAnsi="宋体" w:cs="宋体"/>
                <w:kern w:val="0"/>
                <w:sz w:val="24"/>
              </w:rPr>
            </w:pPr>
            <w:r>
              <w:rPr>
                <w:rFonts w:hint="eastAsia" w:ascii="宋体" w:hAnsi="宋体" w:cs="宋体"/>
                <w:sz w:val="24"/>
              </w:rPr>
              <w:t>391.94</w:t>
            </w:r>
          </w:p>
        </w:tc>
        <w:tc>
          <w:tcPr>
            <w:tcW w:w="2268" w:type="dxa"/>
            <w:vAlign w:val="center"/>
          </w:tcPr>
          <w:p>
            <w:pPr>
              <w:widowControl/>
              <w:jc w:val="center"/>
              <w:rPr>
                <w:rFonts w:ascii="宋体" w:hAnsi="宋体" w:cs="宋体"/>
                <w:sz w:val="24"/>
              </w:rPr>
            </w:pPr>
            <w:r>
              <w:rPr>
                <w:rFonts w:hint="eastAsia" w:ascii="宋体" w:hAnsi="宋体" w:cs="宋体"/>
                <w:sz w:val="24"/>
              </w:rPr>
              <w:t>170.88</w:t>
            </w:r>
          </w:p>
        </w:tc>
        <w:tc>
          <w:tcPr>
            <w:tcW w:w="2268" w:type="dxa"/>
            <w:vAlign w:val="center"/>
          </w:tcPr>
          <w:p>
            <w:pPr>
              <w:widowControl/>
              <w:jc w:val="center"/>
              <w:rPr>
                <w:rFonts w:ascii="宋体" w:hAnsi="宋体" w:cs="宋体"/>
                <w:sz w:val="24"/>
              </w:rPr>
            </w:pPr>
            <w:r>
              <w:rPr>
                <w:rFonts w:hint="eastAsia" w:ascii="宋体" w:hAnsi="宋体" w:cs="宋体"/>
                <w:sz w:val="24"/>
              </w:rPr>
              <w:t>562.82</w:t>
            </w:r>
          </w:p>
        </w:tc>
        <w:tc>
          <w:tcPr>
            <w:tcW w:w="2268" w:type="dxa"/>
            <w:vAlign w:val="center"/>
          </w:tcPr>
          <w:p>
            <w:pPr>
              <w:widowControl/>
              <w:jc w:val="center"/>
              <w:rPr>
                <w:rFonts w:ascii="宋体" w:hAnsi="宋体" w:cs="宋体"/>
                <w:sz w:val="24"/>
              </w:rPr>
            </w:pPr>
            <w:r>
              <w:rPr>
                <w:rFonts w:hint="eastAsia" w:ascii="宋体" w:hAnsi="宋体" w:cs="宋体"/>
                <w:sz w:val="24"/>
              </w:rPr>
              <w:t>544.2</w:t>
            </w:r>
          </w:p>
        </w:tc>
        <w:tc>
          <w:tcPr>
            <w:tcW w:w="2268" w:type="dxa"/>
            <w:vAlign w:val="center"/>
          </w:tcPr>
          <w:p>
            <w:pPr>
              <w:widowControl/>
              <w:jc w:val="center"/>
              <w:rPr>
                <w:rFonts w:ascii="宋体" w:hAnsi="宋体" w:cs="宋体"/>
                <w:sz w:val="24"/>
              </w:rPr>
            </w:pPr>
            <w:r>
              <w:rPr>
                <w:rFonts w:hint="eastAsia" w:ascii="宋体" w:hAnsi="宋体" w:cs="宋体"/>
                <w:sz w:val="24"/>
              </w:rPr>
              <w:t>96.69%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c>
          <w:tcPr>
            <w:tcW w:w="3079" w:type="dxa"/>
            <w:vAlign w:val="center"/>
          </w:tcPr>
          <w:p>
            <w:pPr>
              <w:widowControl/>
              <w:jc w:val="left"/>
              <w:rPr>
                <w:rFonts w:ascii="宋体" w:hAnsi="宋体" w:cs="宋体"/>
                <w:kern w:val="0"/>
                <w:sz w:val="24"/>
              </w:rPr>
            </w:pPr>
            <w:r>
              <w:rPr>
                <w:rFonts w:hint="eastAsia" w:ascii="宋体" w:hAnsi="宋体" w:cs="宋体"/>
                <w:sz w:val="24"/>
              </w:rPr>
              <w:t>科技文献资源</w:t>
            </w:r>
          </w:p>
        </w:tc>
        <w:tc>
          <w:tcPr>
            <w:tcW w:w="2268" w:type="dxa"/>
            <w:vAlign w:val="center"/>
          </w:tcPr>
          <w:p>
            <w:pPr>
              <w:widowControl/>
              <w:jc w:val="center"/>
              <w:rPr>
                <w:rFonts w:ascii="宋体" w:hAnsi="宋体" w:cs="宋体"/>
                <w:kern w:val="0"/>
                <w:sz w:val="24"/>
              </w:rPr>
            </w:pPr>
            <w:r>
              <w:rPr>
                <w:rFonts w:hint="eastAsia" w:ascii="宋体" w:hAnsi="宋体" w:cs="宋体"/>
                <w:sz w:val="24"/>
              </w:rPr>
              <w:t>45</w:t>
            </w:r>
          </w:p>
        </w:tc>
        <w:tc>
          <w:tcPr>
            <w:tcW w:w="2268" w:type="dxa"/>
            <w:vAlign w:val="center"/>
          </w:tcPr>
          <w:p>
            <w:pPr>
              <w:widowControl/>
              <w:jc w:val="center"/>
              <w:rPr>
                <w:rFonts w:ascii="宋体" w:hAnsi="宋体" w:cs="宋体"/>
                <w:sz w:val="24"/>
              </w:rPr>
            </w:pPr>
            <w:r>
              <w:rPr>
                <w:rFonts w:hint="eastAsia" w:ascii="宋体" w:hAnsi="宋体" w:cs="宋体"/>
                <w:sz w:val="24"/>
              </w:rPr>
              <w:t/>
            </w:r>
          </w:p>
        </w:tc>
        <w:tc>
          <w:tcPr>
            <w:tcW w:w="2268" w:type="dxa"/>
            <w:vAlign w:val="center"/>
          </w:tcPr>
          <w:p>
            <w:pPr>
              <w:widowControl/>
              <w:jc w:val="center"/>
              <w:rPr>
                <w:rFonts w:ascii="宋体" w:hAnsi="宋体" w:cs="宋体"/>
                <w:sz w:val="24"/>
              </w:rPr>
            </w:pPr>
            <w:r>
              <w:rPr>
                <w:rFonts w:hint="eastAsia" w:ascii="宋体" w:hAnsi="宋体" w:cs="宋体"/>
                <w:sz w:val="24"/>
              </w:rPr>
              <w:t>45</w:t>
            </w:r>
          </w:p>
        </w:tc>
        <w:tc>
          <w:tcPr>
            <w:tcW w:w="2268" w:type="dxa"/>
            <w:vAlign w:val="center"/>
          </w:tcPr>
          <w:p>
            <w:pPr>
              <w:widowControl/>
              <w:jc w:val="center"/>
              <w:rPr>
                <w:rFonts w:ascii="宋体" w:hAnsi="宋体" w:cs="宋体"/>
                <w:sz w:val="24"/>
              </w:rPr>
            </w:pPr>
            <w:r>
              <w:rPr>
                <w:rFonts w:hint="eastAsia" w:ascii="宋体" w:hAnsi="宋体" w:cs="宋体"/>
                <w:sz w:val="24"/>
              </w:rPr>
              <w:t>44.91</w:t>
            </w:r>
          </w:p>
        </w:tc>
        <w:tc>
          <w:tcPr>
            <w:tcW w:w="2268" w:type="dxa"/>
            <w:vAlign w:val="center"/>
          </w:tcPr>
          <w:p>
            <w:pPr>
              <w:widowControl/>
              <w:jc w:val="center"/>
              <w:rPr>
                <w:rFonts w:ascii="宋体" w:hAnsi="宋体" w:cs="宋体"/>
                <w:sz w:val="24"/>
              </w:rPr>
            </w:pPr>
            <w:r>
              <w:rPr>
                <w:rFonts w:hint="eastAsia" w:ascii="宋体" w:hAnsi="宋体" w:cs="宋体"/>
                <w:sz w:val="24"/>
              </w:rPr>
              <w:t>99.80%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c>
          <w:tcPr>
            <w:tcW w:w="3079" w:type="dxa"/>
            <w:vAlign w:val="center"/>
          </w:tcPr>
          <w:p>
            <w:pPr>
              <w:widowControl/>
              <w:jc w:val="left"/>
              <w:rPr>
                <w:rFonts w:ascii="宋体" w:hAnsi="宋体" w:cs="宋体"/>
                <w:kern w:val="0"/>
                <w:sz w:val="24"/>
              </w:rPr>
            </w:pPr>
            <w:r>
              <w:rPr>
                <w:rFonts w:hint="eastAsia" w:ascii="宋体" w:hAnsi="宋体" w:cs="宋体"/>
                <w:sz w:val="24"/>
              </w:rPr>
              <w:t>办公设备购置</w:t>
            </w:r>
          </w:p>
        </w:tc>
        <w:tc>
          <w:tcPr>
            <w:tcW w:w="2268" w:type="dxa"/>
            <w:vAlign w:val="center"/>
          </w:tcPr>
          <w:p>
            <w:pPr>
              <w:widowControl/>
              <w:jc w:val="center"/>
              <w:rPr>
                <w:rFonts w:ascii="宋体" w:hAnsi="宋体" w:cs="宋体"/>
                <w:kern w:val="0"/>
                <w:sz w:val="24"/>
              </w:rPr>
            </w:pPr>
            <w:r>
              <w:rPr>
                <w:rFonts w:hint="eastAsia" w:ascii="宋体" w:hAnsi="宋体" w:cs="宋体"/>
                <w:sz w:val="24"/>
              </w:rPr>
              <w:t>3.94</w:t>
            </w:r>
          </w:p>
        </w:tc>
        <w:tc>
          <w:tcPr>
            <w:tcW w:w="2268" w:type="dxa"/>
            <w:vAlign w:val="center"/>
          </w:tcPr>
          <w:p>
            <w:pPr>
              <w:widowControl/>
              <w:jc w:val="center"/>
              <w:rPr>
                <w:rFonts w:ascii="宋体" w:hAnsi="宋体" w:cs="宋体"/>
                <w:sz w:val="24"/>
              </w:rPr>
            </w:pPr>
            <w:r>
              <w:rPr>
                <w:rFonts w:hint="eastAsia" w:ascii="宋体" w:hAnsi="宋体" w:cs="宋体"/>
                <w:sz w:val="24"/>
              </w:rPr>
              <w:t/>
            </w:r>
          </w:p>
        </w:tc>
        <w:tc>
          <w:tcPr>
            <w:tcW w:w="2268" w:type="dxa"/>
            <w:vAlign w:val="center"/>
          </w:tcPr>
          <w:p>
            <w:pPr>
              <w:widowControl/>
              <w:jc w:val="center"/>
              <w:rPr>
                <w:rFonts w:ascii="宋体" w:hAnsi="宋体" w:cs="宋体"/>
                <w:sz w:val="24"/>
              </w:rPr>
            </w:pPr>
            <w:r>
              <w:rPr>
                <w:rFonts w:hint="eastAsia" w:ascii="宋体" w:hAnsi="宋体" w:cs="宋体"/>
                <w:sz w:val="24"/>
              </w:rPr>
              <w:t>3.94</w:t>
            </w:r>
          </w:p>
        </w:tc>
        <w:tc>
          <w:tcPr>
            <w:tcW w:w="2268" w:type="dxa"/>
            <w:vAlign w:val="center"/>
          </w:tcPr>
          <w:p>
            <w:pPr>
              <w:widowControl/>
              <w:jc w:val="center"/>
              <w:rPr>
                <w:rFonts w:ascii="宋体" w:hAnsi="宋体" w:cs="宋体"/>
                <w:sz w:val="24"/>
              </w:rPr>
            </w:pPr>
            <w:r>
              <w:rPr>
                <w:rFonts w:hint="eastAsia" w:ascii="宋体" w:hAnsi="宋体" w:cs="宋体"/>
                <w:sz w:val="24"/>
              </w:rPr>
              <w:t>3.83</w:t>
            </w:r>
          </w:p>
        </w:tc>
        <w:tc>
          <w:tcPr>
            <w:tcW w:w="2268" w:type="dxa"/>
            <w:vAlign w:val="center"/>
          </w:tcPr>
          <w:p>
            <w:pPr>
              <w:widowControl/>
              <w:jc w:val="center"/>
              <w:rPr>
                <w:rFonts w:ascii="宋体" w:hAnsi="宋体" w:cs="宋体"/>
                <w:sz w:val="24"/>
              </w:rPr>
            </w:pPr>
            <w:r>
              <w:rPr>
                <w:rFonts w:hint="eastAsia" w:ascii="宋体" w:hAnsi="宋体" w:cs="宋体"/>
                <w:sz w:val="24"/>
              </w:rPr>
              <w:t>97.21%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c>
          <w:tcPr>
            <w:tcW w:w="3079" w:type="dxa"/>
            <w:vAlign w:val="center"/>
          </w:tcPr>
          <w:p>
            <w:pPr>
              <w:widowControl/>
              <w:jc w:val="left"/>
              <w:rPr>
                <w:rFonts w:ascii="宋体" w:hAnsi="宋体" w:cs="宋体"/>
                <w:kern w:val="0"/>
                <w:sz w:val="24"/>
              </w:rPr>
            </w:pPr>
            <w:r>
              <w:rPr>
                <w:rFonts w:hint="eastAsia" w:ascii="宋体" w:hAnsi="宋体" w:cs="宋体"/>
                <w:sz w:val="24"/>
              </w:rPr>
              <w:t>苏州市双创中心物业管理费</w:t>
            </w:r>
          </w:p>
        </w:tc>
        <w:tc>
          <w:tcPr>
            <w:tcW w:w="2268" w:type="dxa"/>
            <w:vAlign w:val="center"/>
          </w:tcPr>
          <w:p>
            <w:pPr>
              <w:widowControl/>
              <w:jc w:val="center"/>
              <w:rPr>
                <w:rFonts w:ascii="宋体" w:hAnsi="宋体" w:cs="宋体"/>
                <w:kern w:val="0"/>
                <w:sz w:val="24"/>
              </w:rPr>
            </w:pPr>
            <w:r>
              <w:rPr>
                <w:rFonts w:hint="eastAsia" w:ascii="宋体" w:hAnsi="宋体" w:cs="宋体"/>
                <w:sz w:val="24"/>
              </w:rPr>
              <w:t>190</w:t>
            </w:r>
          </w:p>
        </w:tc>
        <w:tc>
          <w:tcPr>
            <w:tcW w:w="2268" w:type="dxa"/>
            <w:vAlign w:val="center"/>
          </w:tcPr>
          <w:p>
            <w:pPr>
              <w:widowControl/>
              <w:jc w:val="center"/>
              <w:rPr>
                <w:rFonts w:ascii="宋体" w:hAnsi="宋体" w:cs="宋体"/>
                <w:sz w:val="24"/>
              </w:rPr>
            </w:pPr>
            <w:r>
              <w:rPr>
                <w:rFonts w:hint="eastAsia" w:ascii="宋体" w:hAnsi="宋体" w:cs="宋体"/>
                <w:sz w:val="24"/>
              </w:rPr>
              <w:t/>
            </w:r>
          </w:p>
        </w:tc>
        <w:tc>
          <w:tcPr>
            <w:tcW w:w="2268" w:type="dxa"/>
            <w:vAlign w:val="center"/>
          </w:tcPr>
          <w:p>
            <w:pPr>
              <w:widowControl/>
              <w:jc w:val="center"/>
              <w:rPr>
                <w:rFonts w:ascii="宋体" w:hAnsi="宋体" w:cs="宋体"/>
                <w:sz w:val="24"/>
              </w:rPr>
            </w:pPr>
            <w:r>
              <w:rPr>
                <w:rFonts w:hint="eastAsia" w:ascii="宋体" w:hAnsi="宋体" w:cs="宋体"/>
                <w:sz w:val="24"/>
              </w:rPr>
              <w:t>190</w:t>
            </w:r>
          </w:p>
        </w:tc>
        <w:tc>
          <w:tcPr>
            <w:tcW w:w="2268" w:type="dxa"/>
            <w:vAlign w:val="center"/>
          </w:tcPr>
          <w:p>
            <w:pPr>
              <w:widowControl/>
              <w:jc w:val="center"/>
              <w:rPr>
                <w:rFonts w:ascii="宋体" w:hAnsi="宋体" w:cs="宋体"/>
                <w:sz w:val="24"/>
              </w:rPr>
            </w:pPr>
            <w:r>
              <w:rPr>
                <w:rFonts w:hint="eastAsia" w:ascii="宋体" w:hAnsi="宋体" w:cs="宋体"/>
                <w:sz w:val="24"/>
              </w:rPr>
              <w:t>189.09</w:t>
            </w:r>
          </w:p>
        </w:tc>
        <w:tc>
          <w:tcPr>
            <w:tcW w:w="2268" w:type="dxa"/>
            <w:vAlign w:val="center"/>
          </w:tcPr>
          <w:p>
            <w:pPr>
              <w:widowControl/>
              <w:jc w:val="center"/>
              <w:rPr>
                <w:rFonts w:ascii="宋体" w:hAnsi="宋体" w:cs="宋体"/>
                <w:sz w:val="24"/>
              </w:rPr>
            </w:pPr>
            <w:r>
              <w:rPr>
                <w:rFonts w:hint="eastAsia" w:ascii="宋体" w:hAnsi="宋体" w:cs="宋体"/>
                <w:sz w:val="24"/>
              </w:rPr>
              <w:t>99.52%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c>
          <w:tcPr>
            <w:tcW w:w="3079" w:type="dxa"/>
            <w:vAlign w:val="center"/>
          </w:tcPr>
          <w:p>
            <w:pPr>
              <w:widowControl/>
              <w:jc w:val="left"/>
              <w:rPr>
                <w:rFonts w:ascii="宋体" w:hAnsi="宋体" w:cs="宋体"/>
                <w:kern w:val="0"/>
                <w:sz w:val="24"/>
              </w:rPr>
            </w:pPr>
            <w:r>
              <w:rPr>
                <w:rFonts w:hint="eastAsia" w:ascii="宋体" w:hAnsi="宋体" w:cs="宋体"/>
                <w:sz w:val="24"/>
              </w:rPr>
              <w:t>省工程文献苏州分中心建设</w:t>
            </w:r>
          </w:p>
        </w:tc>
        <w:tc>
          <w:tcPr>
            <w:tcW w:w="2268" w:type="dxa"/>
            <w:vAlign w:val="center"/>
          </w:tcPr>
          <w:p>
            <w:pPr>
              <w:widowControl/>
              <w:jc w:val="center"/>
              <w:rPr>
                <w:rFonts w:ascii="宋体" w:hAnsi="宋体" w:cs="宋体"/>
                <w:kern w:val="0"/>
                <w:sz w:val="24"/>
              </w:rPr>
            </w:pPr>
            <w:r>
              <w:rPr>
                <w:rFonts w:hint="eastAsia" w:ascii="宋体" w:hAnsi="宋体" w:cs="宋体"/>
                <w:sz w:val="24"/>
              </w:rPr>
              <w:t>35</w:t>
            </w:r>
          </w:p>
        </w:tc>
        <w:tc>
          <w:tcPr>
            <w:tcW w:w="2268" w:type="dxa"/>
            <w:vAlign w:val="center"/>
          </w:tcPr>
          <w:p>
            <w:pPr>
              <w:widowControl/>
              <w:jc w:val="center"/>
              <w:rPr>
                <w:rFonts w:ascii="宋体" w:hAnsi="宋体" w:cs="宋体"/>
                <w:sz w:val="24"/>
              </w:rPr>
            </w:pPr>
            <w:r>
              <w:rPr>
                <w:rFonts w:hint="eastAsia" w:ascii="宋体" w:hAnsi="宋体" w:cs="宋体"/>
                <w:sz w:val="24"/>
              </w:rPr>
              <w:t/>
            </w:r>
          </w:p>
        </w:tc>
        <w:tc>
          <w:tcPr>
            <w:tcW w:w="2268" w:type="dxa"/>
            <w:vAlign w:val="center"/>
          </w:tcPr>
          <w:p>
            <w:pPr>
              <w:widowControl/>
              <w:jc w:val="center"/>
              <w:rPr>
                <w:rFonts w:ascii="宋体" w:hAnsi="宋体" w:cs="宋体"/>
                <w:sz w:val="24"/>
              </w:rPr>
            </w:pPr>
            <w:r>
              <w:rPr>
                <w:rFonts w:hint="eastAsia" w:ascii="宋体" w:hAnsi="宋体" w:cs="宋体"/>
                <w:sz w:val="24"/>
              </w:rPr>
              <w:t>35</w:t>
            </w:r>
          </w:p>
        </w:tc>
        <w:tc>
          <w:tcPr>
            <w:tcW w:w="2268" w:type="dxa"/>
            <w:vAlign w:val="center"/>
          </w:tcPr>
          <w:p>
            <w:pPr>
              <w:widowControl/>
              <w:jc w:val="center"/>
              <w:rPr>
                <w:rFonts w:ascii="宋体" w:hAnsi="宋体" w:cs="宋体"/>
                <w:sz w:val="24"/>
              </w:rPr>
            </w:pPr>
            <w:r>
              <w:rPr>
                <w:rFonts w:hint="eastAsia" w:ascii="宋体" w:hAnsi="宋体" w:cs="宋体"/>
                <w:sz w:val="24"/>
              </w:rPr>
              <w:t>34.95</w:t>
            </w:r>
          </w:p>
        </w:tc>
        <w:tc>
          <w:tcPr>
            <w:tcW w:w="2268" w:type="dxa"/>
            <w:vAlign w:val="center"/>
          </w:tcPr>
          <w:p>
            <w:pPr>
              <w:widowControl/>
              <w:jc w:val="center"/>
              <w:rPr>
                <w:rFonts w:ascii="宋体" w:hAnsi="宋体" w:cs="宋体"/>
                <w:sz w:val="24"/>
              </w:rPr>
            </w:pPr>
            <w:r>
              <w:rPr>
                <w:rFonts w:hint="eastAsia" w:ascii="宋体" w:hAnsi="宋体" w:cs="宋体"/>
                <w:sz w:val="24"/>
              </w:rPr>
              <w:t>99.86%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c>
          <w:tcPr>
            <w:tcW w:w="3079" w:type="dxa"/>
            <w:vAlign w:val="center"/>
          </w:tcPr>
          <w:p>
            <w:pPr>
              <w:widowControl/>
              <w:jc w:val="left"/>
              <w:rPr>
                <w:rFonts w:ascii="宋体" w:hAnsi="宋体" w:cs="宋体"/>
                <w:kern w:val="0"/>
                <w:sz w:val="24"/>
              </w:rPr>
            </w:pPr>
            <w:r>
              <w:rPr>
                <w:rFonts w:hint="eastAsia" w:ascii="宋体" w:hAnsi="宋体" w:cs="宋体"/>
                <w:sz w:val="24"/>
              </w:rPr>
              <w:t>苏州市双创中心众创空间运营服务</w:t>
            </w:r>
          </w:p>
        </w:tc>
        <w:tc>
          <w:tcPr>
            <w:tcW w:w="2268" w:type="dxa"/>
            <w:vAlign w:val="center"/>
          </w:tcPr>
          <w:p>
            <w:pPr>
              <w:widowControl/>
              <w:jc w:val="center"/>
              <w:rPr>
                <w:rFonts w:ascii="宋体" w:hAnsi="宋体" w:cs="宋体"/>
                <w:kern w:val="0"/>
                <w:sz w:val="24"/>
              </w:rPr>
            </w:pPr>
            <w:r>
              <w:rPr>
                <w:rFonts w:hint="eastAsia" w:ascii="宋体" w:hAnsi="宋体" w:cs="宋体"/>
                <w:sz w:val="24"/>
              </w:rPr>
              <w:t>113</w:t>
            </w:r>
          </w:p>
        </w:tc>
        <w:tc>
          <w:tcPr>
            <w:tcW w:w="2268" w:type="dxa"/>
            <w:vAlign w:val="center"/>
          </w:tcPr>
          <w:p>
            <w:pPr>
              <w:widowControl/>
              <w:jc w:val="center"/>
              <w:rPr>
                <w:rFonts w:ascii="宋体" w:hAnsi="宋体" w:cs="宋体"/>
                <w:sz w:val="24"/>
              </w:rPr>
            </w:pPr>
            <w:r>
              <w:rPr>
                <w:rFonts w:hint="eastAsia" w:ascii="宋体" w:hAnsi="宋体" w:cs="宋体"/>
                <w:sz w:val="24"/>
              </w:rPr>
              <w:t/>
            </w:r>
          </w:p>
        </w:tc>
        <w:tc>
          <w:tcPr>
            <w:tcW w:w="2268" w:type="dxa"/>
            <w:vAlign w:val="center"/>
          </w:tcPr>
          <w:p>
            <w:pPr>
              <w:widowControl/>
              <w:jc w:val="center"/>
              <w:rPr>
                <w:rFonts w:ascii="宋体" w:hAnsi="宋体" w:cs="宋体"/>
                <w:sz w:val="24"/>
              </w:rPr>
            </w:pPr>
            <w:r>
              <w:rPr>
                <w:rFonts w:hint="eastAsia" w:ascii="宋体" w:hAnsi="宋体" w:cs="宋体"/>
                <w:sz w:val="24"/>
              </w:rPr>
              <w:t>113</w:t>
            </w:r>
          </w:p>
        </w:tc>
        <w:tc>
          <w:tcPr>
            <w:tcW w:w="2268" w:type="dxa"/>
            <w:vAlign w:val="center"/>
          </w:tcPr>
          <w:p>
            <w:pPr>
              <w:widowControl/>
              <w:jc w:val="center"/>
              <w:rPr>
                <w:rFonts w:ascii="宋体" w:hAnsi="宋体" w:cs="宋体"/>
                <w:sz w:val="24"/>
              </w:rPr>
            </w:pPr>
            <w:r>
              <w:rPr>
                <w:rFonts w:hint="eastAsia" w:ascii="宋体" w:hAnsi="宋体" w:cs="宋体"/>
                <w:sz w:val="24"/>
              </w:rPr>
              <w:t>112</w:t>
            </w:r>
          </w:p>
        </w:tc>
        <w:tc>
          <w:tcPr>
            <w:tcW w:w="2268" w:type="dxa"/>
            <w:vAlign w:val="center"/>
          </w:tcPr>
          <w:p>
            <w:pPr>
              <w:widowControl/>
              <w:jc w:val="center"/>
              <w:rPr>
                <w:rFonts w:ascii="宋体" w:hAnsi="宋体" w:cs="宋体"/>
                <w:sz w:val="24"/>
              </w:rPr>
            </w:pPr>
            <w:r>
              <w:rPr>
                <w:rFonts w:hint="eastAsia" w:ascii="宋体" w:hAnsi="宋体" w:cs="宋体"/>
                <w:sz w:val="24"/>
              </w:rPr>
              <w:t>99.12%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c>
          <w:tcPr>
            <w:tcW w:w="3079" w:type="dxa"/>
            <w:vAlign w:val="center"/>
          </w:tcPr>
          <w:p>
            <w:pPr>
              <w:widowControl/>
              <w:jc w:val="left"/>
              <w:rPr>
                <w:rFonts w:ascii="宋体" w:hAnsi="宋体" w:cs="宋体"/>
                <w:kern w:val="0"/>
                <w:sz w:val="24"/>
              </w:rPr>
            </w:pPr>
            <w:r>
              <w:rPr>
                <w:rFonts w:hint="eastAsia" w:ascii="宋体" w:hAnsi="宋体" w:cs="宋体"/>
                <w:sz w:val="24"/>
              </w:rPr>
              <w:t>网络光纤租赁费</w:t>
            </w:r>
          </w:p>
        </w:tc>
        <w:tc>
          <w:tcPr>
            <w:tcW w:w="2268" w:type="dxa"/>
            <w:vAlign w:val="center"/>
          </w:tcPr>
          <w:p>
            <w:pPr>
              <w:widowControl/>
              <w:jc w:val="center"/>
              <w:rPr>
                <w:rFonts w:ascii="宋体" w:hAnsi="宋体" w:cs="宋体"/>
                <w:kern w:val="0"/>
                <w:sz w:val="24"/>
              </w:rPr>
            </w:pPr>
            <w:r>
              <w:rPr>
                <w:rFonts w:hint="eastAsia" w:ascii="宋体" w:hAnsi="宋体" w:cs="宋体"/>
                <w:sz w:val="24"/>
              </w:rPr>
              <w:t>5</w:t>
            </w:r>
          </w:p>
        </w:tc>
        <w:tc>
          <w:tcPr>
            <w:tcW w:w="2268" w:type="dxa"/>
            <w:vAlign w:val="center"/>
          </w:tcPr>
          <w:p>
            <w:pPr>
              <w:widowControl/>
              <w:jc w:val="center"/>
              <w:rPr>
                <w:rFonts w:ascii="宋体" w:hAnsi="宋体" w:cs="宋体"/>
                <w:sz w:val="24"/>
              </w:rPr>
            </w:pPr>
            <w:r>
              <w:rPr>
                <w:rFonts w:hint="eastAsia" w:ascii="宋体" w:hAnsi="宋体" w:cs="宋体"/>
                <w:sz w:val="24"/>
              </w:rPr>
              <w:t/>
            </w:r>
          </w:p>
        </w:tc>
        <w:tc>
          <w:tcPr>
            <w:tcW w:w="2268" w:type="dxa"/>
            <w:vAlign w:val="center"/>
          </w:tcPr>
          <w:p>
            <w:pPr>
              <w:widowControl/>
              <w:jc w:val="center"/>
              <w:rPr>
                <w:rFonts w:ascii="宋体" w:hAnsi="宋体" w:cs="宋体"/>
                <w:sz w:val="24"/>
              </w:rPr>
            </w:pPr>
            <w:r>
              <w:rPr>
                <w:rFonts w:hint="eastAsia" w:ascii="宋体" w:hAnsi="宋体" w:cs="宋体"/>
                <w:sz w:val="24"/>
              </w:rPr>
              <w:t>5</w:t>
            </w:r>
          </w:p>
        </w:tc>
        <w:tc>
          <w:tcPr>
            <w:tcW w:w="2268" w:type="dxa"/>
            <w:vAlign w:val="center"/>
          </w:tcPr>
          <w:p>
            <w:pPr>
              <w:widowControl/>
              <w:jc w:val="center"/>
              <w:rPr>
                <w:rFonts w:ascii="宋体" w:hAnsi="宋体" w:cs="宋体"/>
                <w:sz w:val="24"/>
              </w:rPr>
            </w:pPr>
            <w:r>
              <w:rPr>
                <w:rFonts w:hint="eastAsia" w:ascii="宋体" w:hAnsi="宋体" w:cs="宋体"/>
                <w:sz w:val="24"/>
              </w:rPr>
              <w:t>4.58</w:t>
            </w:r>
          </w:p>
        </w:tc>
        <w:tc>
          <w:tcPr>
            <w:tcW w:w="2268" w:type="dxa"/>
            <w:vAlign w:val="center"/>
          </w:tcPr>
          <w:p>
            <w:pPr>
              <w:widowControl/>
              <w:jc w:val="center"/>
              <w:rPr>
                <w:rFonts w:ascii="宋体" w:hAnsi="宋体" w:cs="宋体"/>
                <w:sz w:val="24"/>
              </w:rPr>
            </w:pPr>
            <w:r>
              <w:rPr>
                <w:rFonts w:hint="eastAsia" w:ascii="宋体" w:hAnsi="宋体" w:cs="宋体"/>
                <w:sz w:val="24"/>
              </w:rPr>
              <w:t>91.60%</w:t>
            </w:r>
          </w:p>
        </w:tc>
      </w:tr>
    </w:tbl>
    <w:p w14:paraId="131ACE80">
      <w:pPr>
        <w:spacing w:line="360" w:lineRule="auto"/>
        <w:ind w:left="600"/>
        <w:rPr>
          <w:rFonts w:ascii="黑体" w:hAnsi="黑体" w:eastAsia="黑体"/>
          <w:sz w:val="30"/>
        </w:rPr>
      </w:pPr>
    </w:p>
    <w:p w14:paraId="74045F82">
      <w:pPr>
        <w:numPr>
          <w:ilvl w:val="0"/>
          <w:numId w:val="1"/>
        </w:numPr>
        <w:spacing w:line="360" w:lineRule="auto"/>
        <w:ind w:left="600"/>
        <w:rPr>
          <w:rFonts w:ascii="黑体" w:hAnsi="黑体" w:eastAsia="黑体"/>
          <w:sz w:val="30"/>
        </w:rPr>
      </w:pPr>
      <w:r>
        <w:rPr>
          <w:rFonts w:hint="eastAsia" w:ascii="黑体" w:hAnsi="黑体" w:eastAsia="黑体"/>
          <w:sz w:val="30"/>
        </w:rPr>
        <w:t>年度重点任务</w:t>
      </w:r>
    </w:p>
    <w:p w14:paraId="0D3A1920">
      <w:pPr>
        <w:spacing w:line="360" w:lineRule="auto"/>
        <w:ind w:left="600"/>
        <w:rPr>
          <w:rFonts w:ascii="黑体" w:hAnsi="黑体" w:eastAsia="黑体"/>
          <w:sz w:val="30"/>
        </w:rPr>
      </w:pPr>
    </w:p>
    <w:tbl>
      <w:tblPr>
        <w:tblStyle w:val="5"/>
        <w:tblW w:w="1351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419"/>
        <w:gridCol w:w="3818"/>
        <w:gridCol w:w="6280"/>
      </w:tblGrid>
      <w:tr w14:paraId="4FD8D7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trPr>
        <w:tc>
          <w:tcPr>
            <w:tcW w:w="3419" w:type="dxa"/>
            <w:shd w:val="clear" w:color="000000" w:fill="BFBFBF"/>
            <w:vAlign w:val="center"/>
          </w:tcPr>
          <w:p w14:paraId="1644DE46">
            <w:pPr>
              <w:widowControl/>
              <w:jc w:val="center"/>
              <w:rPr>
                <w:rFonts w:ascii="宋体" w:hAnsi="宋体" w:cs="宋体"/>
                <w:b/>
                <w:bCs/>
                <w:kern w:val="0"/>
                <w:sz w:val="24"/>
              </w:rPr>
            </w:pPr>
          </w:p>
          <w:p w14:paraId="5858CDEA">
            <w:pPr>
              <w:widowControl/>
              <w:jc w:val="center"/>
              <w:rPr>
                <w:rFonts w:ascii="宋体" w:hAnsi="宋体" w:cs="宋体"/>
                <w:b/>
                <w:bCs/>
                <w:kern w:val="0"/>
                <w:sz w:val="24"/>
              </w:rPr>
            </w:pPr>
            <w:r>
              <w:rPr>
                <w:rFonts w:hint="eastAsia" w:ascii="宋体" w:hAnsi="宋体" w:cs="宋体"/>
                <w:b/>
                <w:bCs/>
                <w:kern w:val="0"/>
                <w:sz w:val="24"/>
              </w:rPr>
              <w:t>对应部门主要职责</w:t>
            </w:r>
          </w:p>
          <w:p w14:paraId="3F9E1C75">
            <w:pPr>
              <w:widowControl/>
              <w:jc w:val="center"/>
              <w:rPr>
                <w:rFonts w:ascii="宋体" w:hAnsi="宋体" w:cs="宋体"/>
                <w:b/>
                <w:bCs/>
                <w:kern w:val="0"/>
                <w:sz w:val="24"/>
              </w:rPr>
            </w:pPr>
            <w:r>
              <w:rPr>
                <w:rFonts w:hint="eastAsia" w:ascii="宋体" w:hAnsi="宋体" w:cs="宋体"/>
                <w:b/>
                <w:bCs/>
                <w:kern w:val="0"/>
                <w:sz w:val="24"/>
              </w:rPr>
              <w:t/>
            </w:r>
          </w:p>
        </w:tc>
        <w:tc>
          <w:tcPr>
            <w:tcW w:w="3818" w:type="dxa"/>
            <w:shd w:val="clear" w:color="000000" w:fill="BFBFBF"/>
            <w:vAlign w:val="center"/>
          </w:tcPr>
          <w:p w14:paraId="561C96F1">
            <w:pPr>
              <w:widowControl/>
              <w:jc w:val="center"/>
              <w:rPr>
                <w:rFonts w:ascii="宋体" w:hAnsi="宋体" w:cs="宋体"/>
                <w:b/>
                <w:bCs/>
                <w:kern w:val="0"/>
                <w:sz w:val="24"/>
              </w:rPr>
            </w:pPr>
            <w:r>
              <w:rPr>
                <w:rFonts w:hint="eastAsia" w:ascii="宋体" w:hAnsi="宋体" w:cs="宋体"/>
                <w:b/>
                <w:bCs/>
                <w:kern w:val="0"/>
                <w:sz w:val="24"/>
              </w:rPr>
              <w:t>任务名称</w:t>
            </w:r>
          </w:p>
        </w:tc>
        <w:tc>
          <w:tcPr>
            <w:tcW w:w="6280" w:type="dxa"/>
            <w:shd w:val="clear" w:color="000000" w:fill="BFBFBF"/>
            <w:vAlign w:val="center"/>
          </w:tcPr>
          <w:p w14:paraId="77A795C7">
            <w:pPr>
              <w:widowControl/>
              <w:jc w:val="center"/>
              <w:rPr>
                <w:rFonts w:ascii="宋体" w:hAnsi="宋体" w:cs="宋体"/>
                <w:b/>
                <w:bCs/>
                <w:kern w:val="0"/>
                <w:sz w:val="24"/>
              </w:rPr>
            </w:pPr>
            <w:r>
              <w:rPr>
                <w:rFonts w:hint="eastAsia" w:ascii="宋体" w:hAnsi="宋体" w:cs="宋体"/>
                <w:b/>
                <w:bCs/>
                <w:kern w:val="0"/>
                <w:sz w:val="24"/>
              </w:rPr>
              <w:t>完成情况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rPr>
          <w:trHeight w:val="608"/>
        </w:trPr>
        <w:trPr>
          <w:trHeight w:val="608"/>
        </w:trPr>
        <w:trPr>
          <w:trHeight w:val="608"/>
        </w:trPr>
        <w:tc>
          <w:tcPr>
            <w:tcW w:w="3419" w:type="dxa"/>
            <w:vAlign w:val="center"/>
          </w:tcPr>
          <w:p>
            <w:pPr>
              <w:widowControl/>
              <w:jc w:val="center"/>
              <w:rPr>
                <w:rFonts w:ascii="宋体" w:hAnsi="宋体" w:cs="宋体"/>
                <w:kern w:val="0"/>
                <w:sz w:val="24"/>
              </w:rPr>
            </w:pPr>
            <w:r>
              <w:rPr>
                <w:rFonts w:hint="eastAsia" w:ascii="宋体" w:hAnsi="宋体" w:cs="宋体"/>
                <w:sz w:val="24"/>
              </w:rPr>
              <w:t>科技评估与评价</w:t>
            </w:r>
          </w:p>
        </w:tc>
        <w:tc>
          <w:tcPr>
            <w:tcW w:w="3818" w:type="dxa"/>
            <w:vAlign w:val="center"/>
          </w:tcPr>
          <w:p>
            <w:pPr>
              <w:widowControl/>
              <w:jc w:val="center"/>
              <w:rPr>
                <w:rFonts w:ascii="宋体" w:hAnsi="宋体" w:cs="宋体"/>
                <w:sz w:val="24"/>
              </w:rPr>
            </w:pPr>
            <w:r>
              <w:rPr>
                <w:rFonts w:hint="eastAsia" w:ascii="宋体" w:hAnsi="宋体" w:cs="宋体"/>
                <w:sz w:val="24"/>
              </w:rPr>
              <w:t>负责科技计划项目的中期检查、滚动支持、结题验收等工作</w:t>
            </w:r>
          </w:p>
        </w:tc>
        <w:tc>
          <w:tcPr>
            <w:tcW w:w="6280" w:type="dxa"/>
            <w:vAlign w:val="center"/>
          </w:tcPr>
          <w:p>
            <w:pPr>
              <w:widowControl/>
              <w:jc w:val="center"/>
              <w:rPr>
                <w:rFonts w:ascii="宋体" w:hAnsi="宋体" w:cs="宋体"/>
                <w:sz w:val="24"/>
              </w:rPr>
            </w:pPr>
            <w:r>
              <w:rPr>
                <w:rFonts w:hint="eastAsia" w:ascii="宋体" w:hAnsi="宋体" w:cs="宋体"/>
                <w:sz w:val="24"/>
              </w:rPr>
              <w:t>		已完成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rPr>
          <w:trHeight w:val="608"/>
        </w:trPr>
        <w:trPr>
          <w:trHeight w:val="608"/>
        </w:trPr>
        <w:trPr>
          <w:trHeight w:val="608"/>
        </w:trPr>
        <w:tc>
          <w:tcPr>
            <w:tcW w:w="3419" w:type="dxa"/>
            <w:vAlign w:val="center"/>
          </w:tcPr>
          <w:tcPr>
            <w:vMerge w:val="restart"/>
          </w:tcPr>
          <w:p>
            <w:pPr>
              <w:widowControl/>
              <w:jc w:val="center"/>
              <w:rPr>
                <w:rFonts w:ascii="宋体" w:hAnsi="宋体" w:cs="宋体"/>
                <w:kern w:val="0"/>
                <w:sz w:val="24"/>
              </w:rPr>
            </w:pPr>
            <w:r>
              <w:rPr>
                <w:rFonts w:hint="eastAsia" w:ascii="宋体" w:hAnsi="宋体" w:cs="宋体"/>
                <w:sz w:val="24"/>
              </w:rPr>
              <w:t>科技情报服务与产业研究</w:t>
            </w:r>
          </w:p>
        </w:tc>
        <w:tc>
          <w:tcPr>
            <w:tcW w:w="3818" w:type="dxa"/>
            <w:vAlign w:val="center"/>
          </w:tcPr>
          <w:p>
            <w:pPr>
              <w:widowControl/>
              <w:jc w:val="center"/>
              <w:rPr>
                <w:rFonts w:ascii="宋体" w:hAnsi="宋体" w:cs="宋体"/>
                <w:sz w:val="24"/>
              </w:rPr>
            </w:pPr>
            <w:r>
              <w:rPr>
                <w:rFonts w:hint="eastAsia" w:ascii="宋体" w:hAnsi="宋体" w:cs="宋体"/>
                <w:sz w:val="24"/>
              </w:rPr>
              <w:t>承担科技咨询服务平台建设与维护工作</w:t>
            </w:r>
          </w:p>
        </w:tc>
        <w:tc>
          <w:tcPr>
            <w:tcW w:w="6280" w:type="dxa"/>
            <w:vAlign w:val="center"/>
          </w:tcPr>
          <w:p>
            <w:pPr>
              <w:widowControl/>
              <w:jc w:val="center"/>
              <w:rPr>
                <w:rFonts w:ascii="宋体" w:hAnsi="宋体" w:cs="宋体"/>
                <w:sz w:val="24"/>
              </w:rPr>
            </w:pPr>
            <w:r>
              <w:rPr>
                <w:rFonts w:hint="eastAsia" w:ascii="宋体" w:hAnsi="宋体" w:cs="宋体"/>
                <w:sz w:val="24"/>
              </w:rPr>
              <w:t>持续优化期刊论文、产业情报、决策参考等信息服务，平台会员约5000家，年访问量约2万次。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rPr>
          <w:trHeight w:val="608"/>
        </w:trPr>
        <w:trPr>
          <w:trHeight w:val="608"/>
        </w:trPr>
        <w:trPr>
          <w:trHeight w:val="608"/>
        </w:trPr>
        <w:tc>
          <w:tcPr>
            <w:tcW w:w="3419" w:type="dxa"/>
            <w:vAlign w:val="center"/>
          </w:tcPr>
          <w:tcPr>
            <w:vMerge w:val="continue"/>
          </w:tcPr>
          <w:p>
            <w:pPr>
              <w:widowControl/>
              <w:jc w:val="center"/>
              <w:rPr>
                <w:rFonts w:ascii="宋体" w:hAnsi="宋体" w:cs="宋体"/>
                <w:kern w:val="0"/>
                <w:sz w:val="24"/>
              </w:rPr>
            </w:pPr>
            <w:r>
              <w:rPr>
                <w:rFonts w:hint="eastAsia" w:ascii="宋体" w:hAnsi="宋体" w:cs="宋体"/>
                <w:sz w:val="24"/>
              </w:rPr>
              <w:t/>
            </w:r>
          </w:p>
        </w:tc>
        <w:tc>
          <w:tcPr>
            <w:tcW w:w="3818" w:type="dxa"/>
            <w:vAlign w:val="center"/>
          </w:tcPr>
          <w:p>
            <w:pPr>
              <w:widowControl/>
              <w:jc w:val="center"/>
              <w:rPr>
                <w:rFonts w:ascii="宋体" w:hAnsi="宋体" w:cs="宋体"/>
                <w:sz w:val="24"/>
              </w:rPr>
            </w:pPr>
            <w:r>
              <w:rPr>
                <w:rFonts w:hint="eastAsia" w:ascii="宋体" w:hAnsi="宋体" w:cs="宋体"/>
                <w:sz w:val="24"/>
              </w:rPr>
              <w:t>负责科技文献资源建设工作</w:t>
            </w:r>
          </w:p>
        </w:tc>
        <w:tc>
          <w:tcPr>
            <w:tcW w:w="6280" w:type="dxa"/>
            <w:vAlign w:val="center"/>
          </w:tcPr>
          <w:p>
            <w:pPr>
              <w:widowControl/>
              <w:jc w:val="center"/>
              <w:rPr>
                <w:rFonts w:ascii="宋体" w:hAnsi="宋体" w:cs="宋体"/>
                <w:sz w:val="24"/>
              </w:rPr>
            </w:pPr>
            <w:r>
              <w:rPr>
                <w:rFonts w:hint="eastAsia" w:ascii="宋体" w:hAnsi="宋体" w:cs="宋体"/>
                <w:sz w:val="24"/>
              </w:rPr>
              <w:t>实现十余种国外数据库的开放服务，及多种中文数据库的共享使用，包含期刊文献、会议论文、专利、标准等数据类型，数据总量超3000万条，并持续更新。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rPr>
          <w:trHeight w:val="608"/>
        </w:trPr>
        <w:trPr>
          <w:trHeight w:val="608"/>
        </w:trPr>
        <w:trPr>
          <w:trHeight w:val="608"/>
        </w:trPr>
        <w:tc>
          <w:tcPr>
            <w:tcW w:w="3419" w:type="dxa"/>
            <w:vAlign w:val="center"/>
          </w:tcPr>
          <w:tcPr>
            <w:vMerge w:val="continue"/>
          </w:tcPr>
          <w:p>
            <w:pPr>
              <w:widowControl/>
              <w:jc w:val="center"/>
              <w:rPr>
                <w:rFonts w:ascii="宋体" w:hAnsi="宋体" w:cs="宋体"/>
                <w:kern w:val="0"/>
                <w:sz w:val="24"/>
              </w:rPr>
            </w:pPr>
            <w:r>
              <w:rPr>
                <w:rFonts w:hint="eastAsia" w:ascii="宋体" w:hAnsi="宋体" w:cs="宋体"/>
                <w:sz w:val="24"/>
              </w:rPr>
              <w:t/>
            </w:r>
          </w:p>
        </w:tc>
        <w:tc>
          <w:tcPr>
            <w:tcW w:w="3818" w:type="dxa"/>
            <w:vAlign w:val="center"/>
          </w:tcPr>
          <w:p>
            <w:pPr>
              <w:widowControl/>
              <w:jc w:val="center"/>
              <w:rPr>
                <w:rFonts w:ascii="宋体" w:hAnsi="宋体" w:cs="宋体"/>
                <w:sz w:val="24"/>
              </w:rPr>
            </w:pPr>
            <w:r>
              <w:rPr>
                <w:rFonts w:hint="eastAsia" w:ascii="宋体" w:hAnsi="宋体" w:cs="宋体"/>
                <w:sz w:val="24"/>
              </w:rPr>
              <w:t>开展产业跟踪及分析研究工作</w:t>
            </w:r>
          </w:p>
        </w:tc>
        <w:tc>
          <w:tcPr>
            <w:tcW w:w="6280" w:type="dxa"/>
            <w:vAlign w:val="center"/>
          </w:tcPr>
          <w:p>
            <w:pPr>
              <w:widowControl/>
              <w:jc w:val="center"/>
              <w:rPr>
                <w:rFonts w:ascii="宋体" w:hAnsi="宋体" w:cs="宋体"/>
                <w:sz w:val="24"/>
              </w:rPr>
            </w:pPr>
            <w:r>
              <w:rPr>
                <w:rFonts w:hint="eastAsia" w:ascii="宋体" w:hAnsi="宋体" w:cs="宋体"/>
                <w:sz w:val="24"/>
              </w:rPr>
              <w:t>围绕半导体集成电路、具身智能、人工智能、先进材料、航空航天等领域，形成相关产业科技动态及分析报告。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rPr>
          <w:trHeight w:val="608"/>
        </w:trPr>
        <w:trPr>
          <w:trHeight w:val="608"/>
        </w:trPr>
        <w:trPr>
          <w:trHeight w:val="608"/>
        </w:trPr>
        <w:tc>
          <w:tcPr>
            <w:tcW w:w="3419" w:type="dxa"/>
            <w:vAlign w:val="center"/>
          </w:tcPr>
          <w:tcPr>
            <w:vMerge w:val="continue"/>
          </w:tcPr>
          <w:p>
            <w:pPr>
              <w:widowControl/>
              <w:jc w:val="center"/>
              <w:rPr>
                <w:rFonts w:ascii="宋体" w:hAnsi="宋体" w:cs="宋体"/>
                <w:kern w:val="0"/>
                <w:sz w:val="24"/>
              </w:rPr>
            </w:pPr>
            <w:r>
              <w:rPr>
                <w:rFonts w:hint="eastAsia" w:ascii="宋体" w:hAnsi="宋体" w:cs="宋体"/>
                <w:sz w:val="24"/>
              </w:rPr>
              <w:t/>
            </w:r>
          </w:p>
        </w:tc>
        <w:tc>
          <w:tcPr>
            <w:tcW w:w="3818" w:type="dxa"/>
            <w:vAlign w:val="center"/>
          </w:tcPr>
          <w:p>
            <w:pPr>
              <w:widowControl/>
              <w:jc w:val="center"/>
              <w:rPr>
                <w:rFonts w:ascii="宋体" w:hAnsi="宋体" w:cs="宋体"/>
                <w:sz w:val="24"/>
              </w:rPr>
            </w:pPr>
            <w:r>
              <w:rPr>
                <w:rFonts w:hint="eastAsia" w:ascii="宋体" w:hAnsi="宋体" w:cs="宋体"/>
                <w:sz w:val="24"/>
              </w:rPr>
              <w:t>开展各类科技咨询服务工作</w:t>
            </w:r>
          </w:p>
        </w:tc>
        <w:tc>
          <w:tcPr>
            <w:tcW w:w="6280" w:type="dxa"/>
            <w:vAlign w:val="center"/>
          </w:tcPr>
          <w:p>
            <w:pPr>
              <w:widowControl/>
              <w:jc w:val="center"/>
              <w:rPr>
                <w:rFonts w:ascii="宋体" w:hAnsi="宋体" w:cs="宋体"/>
                <w:sz w:val="24"/>
              </w:rPr>
            </w:pPr>
            <w:r>
              <w:rPr>
                <w:rFonts w:hint="eastAsia" w:ascii="宋体" w:hAnsi="宋体" w:cs="宋体"/>
                <w:sz w:val="24"/>
              </w:rPr>
              <w:t>全年开展各类情报咨询服务约500家次。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rPr>
          <w:trHeight w:val="608"/>
        </w:trPr>
        <w:trPr>
          <w:trHeight w:val="608"/>
        </w:trPr>
        <w:trPr>
          <w:trHeight w:val="608"/>
        </w:trPr>
        <w:tc>
          <w:tcPr>
            <w:tcW w:w="3419" w:type="dxa"/>
            <w:vAlign w:val="center"/>
          </w:tcPr>
          <w:tcPr>
            <w:vMerge w:val="restart"/>
          </w:tcPr>
          <w:p>
            <w:pPr>
              <w:widowControl/>
              <w:jc w:val="center"/>
              <w:rPr>
                <w:rFonts w:ascii="宋体" w:hAnsi="宋体" w:cs="宋体"/>
                <w:kern w:val="0"/>
                <w:sz w:val="24"/>
              </w:rPr>
            </w:pPr>
            <w:r>
              <w:rPr>
                <w:rFonts w:hint="eastAsia" w:ascii="宋体" w:hAnsi="宋体" w:cs="宋体"/>
                <w:sz w:val="24"/>
              </w:rPr>
              <w:t>科技统计与分析</w:t>
            </w:r>
          </w:p>
        </w:tc>
        <w:tc>
          <w:tcPr>
            <w:tcW w:w="3818" w:type="dxa"/>
            <w:vAlign w:val="center"/>
          </w:tcPr>
          <w:p>
            <w:pPr>
              <w:widowControl/>
              <w:jc w:val="center"/>
              <w:rPr>
                <w:rFonts w:ascii="宋体" w:hAnsi="宋体" w:cs="宋体"/>
                <w:sz w:val="24"/>
              </w:rPr>
            </w:pPr>
            <w:r>
              <w:rPr>
                <w:rFonts w:hint="eastAsia" w:ascii="宋体" w:hAnsi="宋体" w:cs="宋体"/>
                <w:sz w:val="24"/>
              </w:rPr>
              <w:t>承担国家、省、市科技统计工作</w:t>
            </w:r>
          </w:p>
        </w:tc>
        <w:tc>
          <w:tcPr>
            <w:tcW w:w="6280" w:type="dxa"/>
            <w:vAlign w:val="center"/>
          </w:tcPr>
          <w:p>
            <w:pPr>
              <w:widowControl/>
              <w:jc w:val="center"/>
              <w:rPr>
                <w:rFonts w:ascii="宋体" w:hAnsi="宋体" w:cs="宋体"/>
                <w:sz w:val="24"/>
              </w:rPr>
            </w:pPr>
            <w:r>
              <w:rPr>
                <w:rFonts w:hint="eastAsia" w:ascii="宋体" w:hAnsi="宋体" w:cs="宋体"/>
                <w:sz w:val="24"/>
              </w:rPr>
              <w:t>已完成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rPr>
          <w:trHeight w:val="608"/>
        </w:trPr>
        <w:trPr>
          <w:trHeight w:val="608"/>
        </w:trPr>
        <w:trPr>
          <w:trHeight w:val="608"/>
        </w:trPr>
        <w:tc>
          <w:tcPr>
            <w:tcW w:w="3419" w:type="dxa"/>
            <w:vAlign w:val="center"/>
          </w:tcPr>
          <w:tcPr>
            <w:vMerge w:val="continue"/>
          </w:tcPr>
          <w:p>
            <w:pPr>
              <w:widowControl/>
              <w:jc w:val="center"/>
              <w:rPr>
                <w:rFonts w:ascii="宋体" w:hAnsi="宋体" w:cs="宋体"/>
                <w:kern w:val="0"/>
                <w:sz w:val="24"/>
              </w:rPr>
            </w:pPr>
            <w:r>
              <w:rPr>
                <w:rFonts w:hint="eastAsia" w:ascii="宋体" w:hAnsi="宋体" w:cs="宋体"/>
                <w:sz w:val="24"/>
              </w:rPr>
              <w:t/>
            </w:r>
          </w:p>
        </w:tc>
        <w:tc>
          <w:tcPr>
            <w:tcW w:w="3818" w:type="dxa"/>
            <w:vAlign w:val="center"/>
          </w:tcPr>
          <w:p>
            <w:pPr>
              <w:widowControl/>
              <w:jc w:val="center"/>
              <w:rPr>
                <w:rFonts w:ascii="宋体" w:hAnsi="宋体" w:cs="宋体"/>
                <w:sz w:val="24"/>
              </w:rPr>
            </w:pPr>
            <w:r>
              <w:rPr>
                <w:rFonts w:hint="eastAsia" w:ascii="宋体" w:hAnsi="宋体" w:cs="宋体"/>
                <w:sz w:val="24"/>
              </w:rPr>
              <w:t>负责《苏州市科技统计数据汇编》的编撰工作</w:t>
            </w:r>
          </w:p>
        </w:tc>
        <w:tc>
          <w:tcPr>
            <w:tcW w:w="6280" w:type="dxa"/>
            <w:vAlign w:val="center"/>
          </w:tcPr>
          <w:p>
            <w:pPr>
              <w:widowControl/>
              <w:jc w:val="center"/>
              <w:rPr>
                <w:rFonts w:ascii="宋体" w:hAnsi="宋体" w:cs="宋体"/>
                <w:sz w:val="24"/>
              </w:rPr>
            </w:pPr>
            <w:r>
              <w:rPr>
                <w:rFonts w:hint="eastAsia" w:ascii="宋体" w:hAnsi="宋体" w:cs="宋体"/>
                <w:sz w:val="24"/>
              </w:rPr>
              <w:t>	已完成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rPr>
          <w:trHeight w:val="608"/>
        </w:trPr>
        <w:trPr>
          <w:trHeight w:val="608"/>
        </w:trPr>
        <w:trPr>
          <w:trHeight w:val="608"/>
        </w:trPr>
        <w:tc>
          <w:tcPr>
            <w:tcW w:w="3419" w:type="dxa"/>
            <w:vAlign w:val="center"/>
          </w:tcPr>
          <w:tcPr>
            <w:vMerge w:val="continue"/>
          </w:tcPr>
          <w:p>
            <w:pPr>
              <w:widowControl/>
              <w:jc w:val="center"/>
              <w:rPr>
                <w:rFonts w:ascii="宋体" w:hAnsi="宋体" w:cs="宋体"/>
                <w:kern w:val="0"/>
                <w:sz w:val="24"/>
              </w:rPr>
            </w:pPr>
            <w:r>
              <w:rPr>
                <w:rFonts w:hint="eastAsia" w:ascii="宋体" w:hAnsi="宋体" w:cs="宋体"/>
                <w:sz w:val="24"/>
              </w:rPr>
              <w:t/>
            </w:r>
          </w:p>
        </w:tc>
        <w:tc>
          <w:tcPr>
            <w:tcW w:w="3818" w:type="dxa"/>
            <w:vAlign w:val="center"/>
          </w:tcPr>
          <w:p>
            <w:pPr>
              <w:widowControl/>
              <w:jc w:val="center"/>
              <w:rPr>
                <w:rFonts w:ascii="宋体" w:hAnsi="宋体" w:cs="宋体"/>
                <w:sz w:val="24"/>
              </w:rPr>
            </w:pPr>
            <w:r>
              <w:rPr>
                <w:rFonts w:hint="eastAsia" w:ascii="宋体" w:hAnsi="宋体" w:cs="宋体"/>
                <w:sz w:val="24"/>
              </w:rPr>
              <w:t>开展科技统计分析研究工作</w:t>
            </w:r>
          </w:p>
        </w:tc>
        <w:tc>
          <w:tcPr>
            <w:tcW w:w="6280" w:type="dxa"/>
            <w:vAlign w:val="center"/>
          </w:tcPr>
          <w:p>
            <w:pPr>
              <w:widowControl/>
              <w:jc w:val="center"/>
              <w:rPr>
                <w:rFonts w:ascii="宋体" w:hAnsi="宋体" w:cs="宋体"/>
                <w:sz w:val="24"/>
              </w:rPr>
            </w:pPr>
            <w:r>
              <w:rPr>
                <w:rFonts w:hint="eastAsia" w:ascii="宋体" w:hAnsi="宋体" w:cs="宋体"/>
                <w:sz w:val="24"/>
              </w:rPr>
              <w:t>	已完成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rPr>
          <w:trHeight w:val="608"/>
        </w:trPr>
        <w:trPr>
          <w:trHeight w:val="608"/>
        </w:trPr>
        <w:trPr>
          <w:trHeight w:val="608"/>
        </w:trPr>
        <w:tc>
          <w:tcPr>
            <w:tcW w:w="3419" w:type="dxa"/>
            <w:vAlign w:val="center"/>
          </w:tcPr>
          <w:tcPr>
            <w:vMerge w:val="restart"/>
          </w:tcPr>
          <w:p>
            <w:pPr>
              <w:widowControl/>
              <w:jc w:val="center"/>
              <w:rPr>
                <w:rFonts w:ascii="宋体" w:hAnsi="宋体" w:cs="宋体"/>
                <w:kern w:val="0"/>
                <w:sz w:val="24"/>
              </w:rPr>
            </w:pPr>
            <w:r>
              <w:rPr>
                <w:rFonts w:hint="eastAsia" w:ascii="宋体" w:hAnsi="宋体" w:cs="宋体"/>
                <w:sz w:val="24"/>
              </w:rPr>
              <w:t>科技项目受理与评审</w:t>
            </w:r>
          </w:p>
        </w:tc>
        <w:tc>
          <w:tcPr>
            <w:tcW w:w="3818" w:type="dxa"/>
            <w:vAlign w:val="center"/>
          </w:tcPr>
          <w:p>
            <w:pPr>
              <w:widowControl/>
              <w:jc w:val="center"/>
              <w:rPr>
                <w:rFonts w:ascii="宋体" w:hAnsi="宋体" w:cs="宋体"/>
                <w:sz w:val="24"/>
              </w:rPr>
            </w:pPr>
            <w:r>
              <w:rPr>
                <w:rFonts w:hint="eastAsia" w:ascii="宋体" w:hAnsi="宋体" w:cs="宋体"/>
                <w:sz w:val="24"/>
              </w:rPr>
              <w:t>承担国家、省、市级科技计划项目申报受理及评审组织工作</w:t>
            </w:r>
          </w:p>
        </w:tc>
        <w:tc>
          <w:tcPr>
            <w:tcW w:w="6280" w:type="dxa"/>
            <w:vAlign w:val="center"/>
          </w:tcPr>
          <w:p>
            <w:pPr>
              <w:widowControl/>
              <w:jc w:val="center"/>
              <w:rPr>
                <w:rFonts w:ascii="宋体" w:hAnsi="宋体" w:cs="宋体"/>
                <w:sz w:val="24"/>
              </w:rPr>
            </w:pPr>
            <w:r>
              <w:rPr>
                <w:rFonts w:hint="eastAsia" w:ascii="宋体" w:hAnsi="宋体" w:cs="宋体"/>
                <w:sz w:val="24"/>
              </w:rPr>
              <w:t>	已完成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rPr>
          <w:trHeight w:val="608"/>
        </w:trPr>
        <w:trPr>
          <w:trHeight w:val="608"/>
        </w:trPr>
        <w:trPr>
          <w:trHeight w:val="608"/>
        </w:trPr>
        <w:tc>
          <w:tcPr>
            <w:tcW w:w="3419" w:type="dxa"/>
            <w:vAlign w:val="center"/>
          </w:tcPr>
          <w:tcPr>
            <w:vMerge w:val="continue"/>
          </w:tcPr>
          <w:p>
            <w:pPr>
              <w:widowControl/>
              <w:jc w:val="center"/>
              <w:rPr>
                <w:rFonts w:ascii="宋体" w:hAnsi="宋体" w:cs="宋体"/>
                <w:kern w:val="0"/>
                <w:sz w:val="24"/>
              </w:rPr>
            </w:pPr>
            <w:r>
              <w:rPr>
                <w:rFonts w:hint="eastAsia" w:ascii="宋体" w:hAnsi="宋体" w:cs="宋体"/>
                <w:sz w:val="24"/>
              </w:rPr>
              <w:t/>
            </w:r>
          </w:p>
        </w:tc>
        <w:tc>
          <w:tcPr>
            <w:tcW w:w="3818" w:type="dxa"/>
            <w:vAlign w:val="center"/>
          </w:tcPr>
          <w:p>
            <w:pPr>
              <w:widowControl/>
              <w:jc w:val="center"/>
              <w:rPr>
                <w:rFonts w:ascii="宋体" w:hAnsi="宋体" w:cs="宋体"/>
                <w:sz w:val="24"/>
              </w:rPr>
            </w:pPr>
            <w:r>
              <w:rPr>
                <w:rFonts w:hint="eastAsia" w:ascii="宋体" w:hAnsi="宋体" w:cs="宋体"/>
                <w:sz w:val="24"/>
              </w:rPr>
              <w:t>开展实验动物许可管理相关工作</w:t>
            </w:r>
          </w:p>
        </w:tc>
        <w:tc>
          <w:tcPr>
            <w:tcW w:w="6280" w:type="dxa"/>
            <w:vAlign w:val="center"/>
          </w:tcPr>
          <w:p>
            <w:pPr>
              <w:widowControl/>
              <w:jc w:val="center"/>
              <w:rPr>
                <w:rFonts w:ascii="宋体" w:hAnsi="宋体" w:cs="宋体"/>
                <w:sz w:val="24"/>
              </w:rPr>
            </w:pPr>
            <w:r>
              <w:rPr>
                <w:rFonts w:hint="eastAsia" w:ascii="宋体" w:hAnsi="宋体" w:cs="宋体"/>
                <w:sz w:val="24"/>
              </w:rPr>
              <w:t>		已完成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rPr>
          <w:trHeight w:val="608"/>
        </w:trPr>
        <w:trPr>
          <w:trHeight w:val="608"/>
        </w:trPr>
        <w:trPr>
          <w:trHeight w:val="608"/>
        </w:trPr>
        <w:tc>
          <w:tcPr>
            <w:tcW w:w="3419" w:type="dxa"/>
            <w:vAlign w:val="center"/>
          </w:tcPr>
          <w:tcPr>
            <w:vMerge w:val="continue"/>
          </w:tcPr>
          <w:p>
            <w:pPr>
              <w:widowControl/>
              <w:jc w:val="center"/>
              <w:rPr>
                <w:rFonts w:ascii="宋体" w:hAnsi="宋体" w:cs="宋体"/>
                <w:kern w:val="0"/>
                <w:sz w:val="24"/>
              </w:rPr>
            </w:pPr>
            <w:r>
              <w:rPr>
                <w:rFonts w:hint="eastAsia" w:ascii="宋体" w:hAnsi="宋体" w:cs="宋体"/>
                <w:sz w:val="24"/>
              </w:rPr>
              <w:t/>
            </w:r>
          </w:p>
        </w:tc>
        <w:tc>
          <w:tcPr>
            <w:tcW w:w="3818" w:type="dxa"/>
            <w:vAlign w:val="center"/>
          </w:tcPr>
          <w:p>
            <w:pPr>
              <w:widowControl/>
              <w:jc w:val="center"/>
              <w:rPr>
                <w:rFonts w:ascii="宋体" w:hAnsi="宋体" w:cs="宋体"/>
                <w:sz w:val="24"/>
              </w:rPr>
            </w:pPr>
            <w:r>
              <w:rPr>
                <w:rFonts w:hint="eastAsia" w:ascii="宋体" w:hAnsi="宋体" w:cs="宋体"/>
                <w:sz w:val="24"/>
              </w:rPr>
              <w:t>做好科技专家库维护工作</w:t>
            </w:r>
          </w:p>
        </w:tc>
        <w:tc>
          <w:tcPr>
            <w:tcW w:w="6280" w:type="dxa"/>
            <w:vAlign w:val="center"/>
          </w:tcPr>
          <w:p>
            <w:pPr>
              <w:widowControl/>
              <w:jc w:val="center"/>
              <w:rPr>
                <w:rFonts w:ascii="宋体" w:hAnsi="宋体" w:cs="宋体"/>
                <w:sz w:val="24"/>
              </w:rPr>
            </w:pPr>
            <w:r>
              <w:rPr>
                <w:rFonts w:hint="eastAsia" w:ascii="宋体" w:hAnsi="宋体" w:cs="宋体"/>
                <w:sz w:val="24"/>
              </w:rPr>
              <w:t>	已完成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rPr>
          <w:trHeight w:val="608"/>
        </w:trPr>
        <w:trPr>
          <w:trHeight w:val="608"/>
        </w:trPr>
        <w:trPr>
          <w:trHeight w:val="608"/>
        </w:trPr>
        <w:tc>
          <w:tcPr>
            <w:tcW w:w="3419" w:type="dxa"/>
            <w:vAlign w:val="center"/>
          </w:tcPr>
          <w:tcPr>
            <w:vMerge w:val="restart"/>
          </w:tcPr>
          <w:p>
            <w:pPr>
              <w:widowControl/>
              <w:jc w:val="center"/>
              <w:rPr>
                <w:rFonts w:ascii="宋体" w:hAnsi="宋体" w:cs="宋体"/>
                <w:kern w:val="0"/>
                <w:sz w:val="24"/>
              </w:rPr>
            </w:pPr>
            <w:r>
              <w:rPr>
                <w:rFonts w:hint="eastAsia" w:ascii="宋体" w:hAnsi="宋体" w:cs="宋体"/>
                <w:sz w:val="24"/>
              </w:rPr>
              <w:t>科技信息化建设与运维</w:t>
            </w:r>
          </w:p>
        </w:tc>
        <w:tc>
          <w:tcPr>
            <w:tcW w:w="3818" w:type="dxa"/>
            <w:vAlign w:val="center"/>
          </w:tcPr>
          <w:p>
            <w:pPr>
              <w:widowControl/>
              <w:jc w:val="center"/>
              <w:rPr>
                <w:rFonts w:ascii="宋体" w:hAnsi="宋体" w:cs="宋体"/>
                <w:sz w:val="24"/>
              </w:rPr>
            </w:pPr>
            <w:r>
              <w:rPr>
                <w:rFonts w:hint="eastAsia" w:ascii="宋体" w:hAnsi="宋体" w:cs="宋体"/>
                <w:sz w:val="24"/>
              </w:rPr>
              <w:t>负责信息化网络建设及技术支撑等工作</w:t>
            </w:r>
          </w:p>
        </w:tc>
        <w:tc>
          <w:tcPr>
            <w:tcW w:w="6280" w:type="dxa"/>
            <w:vAlign w:val="center"/>
          </w:tcPr>
          <w:p>
            <w:pPr>
              <w:widowControl/>
              <w:jc w:val="center"/>
              <w:rPr>
                <w:rFonts w:ascii="宋体" w:hAnsi="宋体" w:cs="宋体"/>
                <w:sz w:val="24"/>
              </w:rPr>
            </w:pPr>
            <w:r>
              <w:rPr>
                <w:rFonts w:hint="eastAsia" w:ascii="宋体" w:hAnsi="宋体" w:cs="宋体"/>
                <w:sz w:val="24"/>
              </w:rPr>
              <w:t>已完成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rPr>
          <w:trHeight w:val="608"/>
        </w:trPr>
        <w:trPr>
          <w:trHeight w:val="608"/>
        </w:trPr>
        <w:trPr>
          <w:trHeight w:val="608"/>
        </w:trPr>
        <w:tc>
          <w:tcPr>
            <w:tcW w:w="3419" w:type="dxa"/>
            <w:vAlign w:val="center"/>
          </w:tcPr>
          <w:tcPr>
            <w:vMerge w:val="continue"/>
          </w:tcPr>
          <w:p>
            <w:pPr>
              <w:widowControl/>
              <w:jc w:val="center"/>
              <w:rPr>
                <w:rFonts w:ascii="宋体" w:hAnsi="宋体" w:cs="宋体"/>
                <w:kern w:val="0"/>
                <w:sz w:val="24"/>
              </w:rPr>
            </w:pPr>
            <w:r>
              <w:rPr>
                <w:rFonts w:hint="eastAsia" w:ascii="宋体" w:hAnsi="宋体" w:cs="宋体"/>
                <w:sz w:val="24"/>
              </w:rPr>
              <w:t/>
            </w:r>
          </w:p>
        </w:tc>
        <w:tc>
          <w:tcPr>
            <w:tcW w:w="3818" w:type="dxa"/>
            <w:vAlign w:val="center"/>
          </w:tcPr>
          <w:p>
            <w:pPr>
              <w:widowControl/>
              <w:jc w:val="center"/>
              <w:rPr>
                <w:rFonts w:ascii="宋体" w:hAnsi="宋体" w:cs="宋体"/>
                <w:sz w:val="24"/>
              </w:rPr>
            </w:pPr>
            <w:r>
              <w:rPr>
                <w:rFonts w:hint="eastAsia" w:ascii="宋体" w:hAnsi="宋体" w:cs="宋体"/>
                <w:sz w:val="24"/>
              </w:rPr>
              <w:t>负责科技枢纽的开发、运行、维护和培训工作</w:t>
            </w:r>
          </w:p>
        </w:tc>
        <w:tc>
          <w:tcPr>
            <w:tcW w:w="6280" w:type="dxa"/>
            <w:vAlign w:val="center"/>
          </w:tcPr>
          <w:p>
            <w:pPr>
              <w:widowControl/>
              <w:jc w:val="center"/>
              <w:rPr>
                <w:rFonts w:ascii="宋体" w:hAnsi="宋体" w:cs="宋体"/>
                <w:sz w:val="24"/>
              </w:rPr>
            </w:pPr>
            <w:r>
              <w:rPr>
                <w:rFonts w:hint="eastAsia" w:ascii="宋体" w:hAnsi="宋体" w:cs="宋体"/>
                <w:sz w:val="24"/>
              </w:rPr>
              <w:t>已完成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rPr>
          <w:trHeight w:val="608"/>
        </w:trPr>
        <w:trPr>
          <w:trHeight w:val="608"/>
        </w:trPr>
        <w:trPr>
          <w:trHeight w:val="608"/>
        </w:trPr>
        <w:tc>
          <w:tcPr>
            <w:tcW w:w="3419" w:type="dxa"/>
            <w:vAlign w:val="center"/>
          </w:tcPr>
          <w:tcPr>
            <w:vMerge w:val="continue"/>
          </w:tcPr>
          <w:p>
            <w:pPr>
              <w:widowControl/>
              <w:jc w:val="center"/>
              <w:rPr>
                <w:rFonts w:ascii="宋体" w:hAnsi="宋体" w:cs="宋体"/>
                <w:kern w:val="0"/>
                <w:sz w:val="24"/>
              </w:rPr>
            </w:pPr>
            <w:r>
              <w:rPr>
                <w:rFonts w:hint="eastAsia" w:ascii="宋体" w:hAnsi="宋体" w:cs="宋体"/>
                <w:sz w:val="24"/>
              </w:rPr>
              <w:t/>
            </w:r>
          </w:p>
        </w:tc>
        <w:tc>
          <w:tcPr>
            <w:tcW w:w="3818" w:type="dxa"/>
            <w:vAlign w:val="center"/>
          </w:tcPr>
          <w:p>
            <w:pPr>
              <w:widowControl/>
              <w:jc w:val="center"/>
              <w:rPr>
                <w:rFonts w:ascii="宋体" w:hAnsi="宋体" w:cs="宋体"/>
                <w:sz w:val="24"/>
              </w:rPr>
            </w:pPr>
            <w:r>
              <w:rPr>
                <w:rFonts w:hint="eastAsia" w:ascii="宋体" w:hAnsi="宋体" w:cs="宋体"/>
                <w:sz w:val="24"/>
              </w:rPr>
              <w:t>负责网络安全及网络运维等工作</w:t>
            </w:r>
          </w:p>
        </w:tc>
        <w:tc>
          <w:tcPr>
            <w:tcW w:w="6280" w:type="dxa"/>
            <w:vAlign w:val="center"/>
          </w:tcPr>
          <w:p>
            <w:pPr>
              <w:widowControl/>
              <w:jc w:val="center"/>
              <w:rPr>
                <w:rFonts w:ascii="宋体" w:hAnsi="宋体" w:cs="宋体"/>
                <w:sz w:val="24"/>
              </w:rPr>
            </w:pPr>
            <w:r>
              <w:rPr>
                <w:rFonts w:hint="eastAsia" w:ascii="宋体" w:hAnsi="宋体" w:cs="宋体"/>
                <w:sz w:val="24"/>
              </w:rPr>
              <w:t>已完成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rPr>
          <w:trHeight w:val="608"/>
        </w:trPr>
        <w:trPr>
          <w:trHeight w:val="608"/>
        </w:trPr>
        <w:trPr>
          <w:trHeight w:val="608"/>
        </w:trPr>
        <w:tc>
          <w:tcPr>
            <w:tcW w:w="3419" w:type="dxa"/>
            <w:vAlign w:val="center"/>
          </w:tcPr>
          <w:tcPr>
            <w:vMerge w:val="restart"/>
          </w:tcPr>
          <w:p>
            <w:pPr>
              <w:widowControl/>
              <w:jc w:val="center"/>
              <w:rPr>
                <w:rFonts w:ascii="宋体" w:hAnsi="宋体" w:cs="宋体"/>
                <w:kern w:val="0"/>
                <w:sz w:val="24"/>
              </w:rPr>
            </w:pPr>
            <w:r>
              <w:rPr>
                <w:rFonts w:hint="eastAsia" w:ascii="宋体" w:hAnsi="宋体" w:cs="宋体"/>
                <w:sz w:val="24"/>
              </w:rPr>
              <w:t>人才项目受理与服务</w:t>
            </w:r>
          </w:p>
        </w:tc>
        <w:tc>
          <w:tcPr>
            <w:tcW w:w="3818" w:type="dxa"/>
            <w:vAlign w:val="center"/>
          </w:tcPr>
          <w:p>
            <w:pPr>
              <w:widowControl/>
              <w:jc w:val="center"/>
              <w:rPr>
                <w:rFonts w:ascii="宋体" w:hAnsi="宋体" w:cs="宋体"/>
                <w:sz w:val="24"/>
              </w:rPr>
            </w:pPr>
            <w:r>
              <w:rPr>
                <w:rFonts w:hint="eastAsia" w:ascii="宋体" w:hAnsi="宋体" w:cs="宋体"/>
                <w:sz w:val="24"/>
              </w:rPr>
              <w:t>协助做好《苏州市高层次人才享受生活待遇暂行办法》等人才政策的咨询工作</w:t>
            </w:r>
          </w:p>
        </w:tc>
        <w:tc>
          <w:tcPr>
            <w:tcW w:w="6280" w:type="dxa"/>
            <w:vAlign w:val="center"/>
          </w:tcPr>
          <w:p>
            <w:pPr>
              <w:widowControl/>
              <w:jc w:val="center"/>
              <w:rPr>
                <w:rFonts w:ascii="宋体" w:hAnsi="宋体" w:cs="宋体"/>
                <w:sz w:val="24"/>
              </w:rPr>
            </w:pPr>
            <w:r>
              <w:rPr>
                <w:rFonts w:hint="eastAsia" w:ascii="宋体" w:hAnsi="宋体" w:cs="宋体"/>
                <w:sz w:val="24"/>
              </w:rPr>
              <w:t>已完成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rPr>
          <w:trHeight w:val="608"/>
        </w:trPr>
        <w:trPr>
          <w:trHeight w:val="608"/>
        </w:trPr>
        <w:trPr>
          <w:trHeight w:val="608"/>
        </w:trPr>
        <w:tc>
          <w:tcPr>
            <w:tcW w:w="3419" w:type="dxa"/>
            <w:vAlign w:val="center"/>
          </w:tcPr>
          <w:tcPr>
            <w:vMerge w:val="continue"/>
          </w:tcPr>
          <w:p>
            <w:pPr>
              <w:widowControl/>
              <w:jc w:val="center"/>
              <w:rPr>
                <w:rFonts w:ascii="宋体" w:hAnsi="宋体" w:cs="宋体"/>
                <w:kern w:val="0"/>
                <w:sz w:val="24"/>
              </w:rPr>
            </w:pPr>
            <w:r>
              <w:rPr>
                <w:rFonts w:hint="eastAsia" w:ascii="宋体" w:hAnsi="宋体" w:cs="宋体"/>
                <w:sz w:val="24"/>
              </w:rPr>
              <w:t/>
            </w:r>
          </w:p>
        </w:tc>
        <w:tc>
          <w:tcPr>
            <w:tcW w:w="3818" w:type="dxa"/>
            <w:vAlign w:val="center"/>
          </w:tcPr>
          <w:p>
            <w:pPr>
              <w:widowControl/>
              <w:jc w:val="center"/>
              <w:rPr>
                <w:rFonts w:ascii="宋体" w:hAnsi="宋体" w:cs="宋体"/>
                <w:sz w:val="24"/>
              </w:rPr>
            </w:pPr>
            <w:r>
              <w:rPr>
                <w:rFonts w:hint="eastAsia" w:ascii="宋体" w:hAnsi="宋体" w:cs="宋体"/>
                <w:sz w:val="24"/>
              </w:rPr>
              <w:t>做好苏州市领军人才联合会日常管理工作，组织开展人才沙龙、政策咨询、金融对接等服务工作</w:t>
            </w:r>
          </w:p>
        </w:tc>
        <w:tc>
          <w:tcPr>
            <w:tcW w:w="6280" w:type="dxa"/>
            <w:vAlign w:val="center"/>
          </w:tcPr>
          <w:p>
            <w:pPr>
              <w:widowControl/>
              <w:jc w:val="center"/>
              <w:rPr>
                <w:rFonts w:ascii="宋体" w:hAnsi="宋体" w:cs="宋体"/>
                <w:sz w:val="24"/>
              </w:rPr>
            </w:pPr>
            <w:r>
              <w:rPr>
                <w:rFonts w:hint="eastAsia" w:ascii="宋体" w:hAnsi="宋体" w:cs="宋体"/>
                <w:sz w:val="24"/>
              </w:rPr>
              <w:t>持续深化“翼企·引”、“翼企·融”、“翼企·链”、“翼企·情”4大系列服务品牌和1个领军人才梯度培育营的“4+1”服务格局，累计举办人才沙龙、政策咨询、金融对接等60余场，参与人次达3500余位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rPr>
          <w:trHeight w:val="608"/>
        </w:trPr>
        <w:trPr>
          <w:trHeight w:val="608"/>
        </w:trPr>
        <w:trPr>
          <w:trHeight w:val="608"/>
        </w:trPr>
        <w:tc>
          <w:tcPr>
            <w:tcW w:w="3419" w:type="dxa"/>
            <w:vAlign w:val="center"/>
          </w:tcPr>
          <w:tcPr>
            <w:vMerge w:val="continue"/>
          </w:tcPr>
          <w:p>
            <w:pPr>
              <w:widowControl/>
              <w:jc w:val="center"/>
              <w:rPr>
                <w:rFonts w:ascii="宋体" w:hAnsi="宋体" w:cs="宋体"/>
                <w:kern w:val="0"/>
                <w:sz w:val="24"/>
              </w:rPr>
            </w:pPr>
            <w:r>
              <w:rPr>
                <w:rFonts w:hint="eastAsia" w:ascii="宋体" w:hAnsi="宋体" w:cs="宋体"/>
                <w:sz w:val="24"/>
              </w:rPr>
              <w:t/>
            </w:r>
          </w:p>
        </w:tc>
        <w:tc>
          <w:tcPr>
            <w:tcW w:w="3818" w:type="dxa"/>
            <w:vAlign w:val="center"/>
          </w:tcPr>
          <w:p>
            <w:pPr>
              <w:widowControl/>
              <w:jc w:val="center"/>
              <w:rPr>
                <w:rFonts w:ascii="宋体" w:hAnsi="宋体" w:cs="宋体"/>
                <w:sz w:val="24"/>
              </w:rPr>
            </w:pPr>
            <w:r>
              <w:rPr>
                <w:rFonts w:hint="eastAsia" w:ascii="宋体" w:hAnsi="宋体" w:cs="宋体"/>
                <w:sz w:val="24"/>
              </w:rPr>
              <w:t>承担国家、省、市各级各类人才项目申报受理及评审组织</w:t>
            </w:r>
          </w:p>
        </w:tc>
        <w:tc>
          <w:tcPr>
            <w:tcW w:w="6280" w:type="dxa"/>
            <w:vAlign w:val="center"/>
          </w:tcPr>
          <w:p>
            <w:pPr>
              <w:widowControl/>
              <w:jc w:val="center"/>
              <w:rPr>
                <w:rFonts w:ascii="宋体" w:hAnsi="宋体" w:cs="宋体"/>
                <w:sz w:val="24"/>
              </w:rPr>
            </w:pPr>
            <w:r>
              <w:rPr>
                <w:rFonts w:hint="eastAsia" w:ascii="宋体" w:hAnsi="宋体" w:cs="宋体"/>
                <w:sz w:val="24"/>
              </w:rPr>
              <w:t>	已完成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rPr>
          <w:trHeight w:val="608"/>
        </w:trPr>
        <w:trPr>
          <w:trHeight w:val="608"/>
        </w:trPr>
        <w:trPr>
          <w:trHeight w:val="608"/>
        </w:trPr>
        <w:tc>
          <w:tcPr>
            <w:tcW w:w="3419" w:type="dxa"/>
            <w:vAlign w:val="center"/>
          </w:tcPr>
          <w:tcPr>
            <w:vMerge w:val="restart"/>
          </w:tcPr>
          <w:p>
            <w:pPr>
              <w:widowControl/>
              <w:jc w:val="center"/>
              <w:rPr>
                <w:rFonts w:ascii="宋体" w:hAnsi="宋体" w:cs="宋体"/>
                <w:kern w:val="0"/>
                <w:sz w:val="24"/>
              </w:rPr>
            </w:pPr>
            <w:r>
              <w:rPr>
                <w:rFonts w:hint="eastAsia" w:ascii="宋体" w:hAnsi="宋体" w:cs="宋体"/>
                <w:sz w:val="24"/>
              </w:rPr>
              <w:t>双创中心科技招商与运营管理</w:t>
            </w:r>
          </w:p>
        </w:tc>
        <w:tc>
          <w:tcPr>
            <w:tcW w:w="3818" w:type="dxa"/>
            <w:vAlign w:val="center"/>
          </w:tcPr>
          <w:p>
            <w:pPr>
              <w:widowControl/>
              <w:jc w:val="center"/>
              <w:rPr>
                <w:rFonts w:ascii="宋体" w:hAnsi="宋体" w:cs="宋体"/>
                <w:sz w:val="24"/>
              </w:rPr>
            </w:pPr>
            <w:r>
              <w:rPr>
                <w:rFonts w:hint="eastAsia" w:ascii="宋体" w:hAnsi="宋体" w:cs="宋体"/>
                <w:sz w:val="24"/>
              </w:rPr>
              <w:t>开展创新创业服务工作</w:t>
            </w:r>
          </w:p>
        </w:tc>
        <w:tc>
          <w:tcPr>
            <w:tcW w:w="6280" w:type="dxa"/>
            <w:vAlign w:val="center"/>
          </w:tcPr>
          <w:p>
            <w:pPr>
              <w:widowControl/>
              <w:jc w:val="center"/>
              <w:rPr>
                <w:rFonts w:ascii="宋体" w:hAnsi="宋体" w:cs="宋体"/>
                <w:sz w:val="24"/>
              </w:rPr>
            </w:pPr>
            <w:r>
              <w:rPr>
                <w:rFonts w:hint="eastAsia" w:ascii="宋体" w:hAnsi="宋体" w:cs="宋体"/>
                <w:sz w:val="24"/>
              </w:rPr>
              <w:t>组织发布2025苏州青年科学家，吸引800余位海内外青年人才参与报名。全年共计发布苏州青年科学家20位；组团参加2025中国海外人才交流大会，苏州展馆吸引300余位海外人才、政府单位、科研机构等人员参观交流；积极构建开放协同的金融服务生态，开创“+银行”、“+创投”深度服务范式，为10余家人才企业提供了量身定制的综合金融解决方案，为40余家人才企业提供了股权融资和产业对接的多元化需求。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rPr>
          <w:trHeight w:val="608"/>
        </w:trPr>
        <w:trPr>
          <w:trHeight w:val="608"/>
        </w:trPr>
        <w:trPr>
          <w:trHeight w:val="608"/>
        </w:trPr>
        <w:tc>
          <w:tcPr>
            <w:tcW w:w="3419" w:type="dxa"/>
            <w:vAlign w:val="center"/>
          </w:tcPr>
          <w:tcPr>
            <w:vMerge w:val="continue"/>
          </w:tcPr>
          <w:p>
            <w:pPr>
              <w:widowControl/>
              <w:jc w:val="center"/>
              <w:rPr>
                <w:rFonts w:ascii="宋体" w:hAnsi="宋体" w:cs="宋体"/>
                <w:kern w:val="0"/>
                <w:sz w:val="24"/>
              </w:rPr>
            </w:pPr>
            <w:r>
              <w:rPr>
                <w:rFonts w:hint="eastAsia" w:ascii="宋体" w:hAnsi="宋体" w:cs="宋体"/>
                <w:sz w:val="24"/>
              </w:rPr>
              <w:t/>
            </w:r>
          </w:p>
        </w:tc>
        <w:tc>
          <w:tcPr>
            <w:tcW w:w="3818" w:type="dxa"/>
            <w:vAlign w:val="center"/>
          </w:tcPr>
          <w:p>
            <w:pPr>
              <w:widowControl/>
              <w:jc w:val="center"/>
              <w:rPr>
                <w:rFonts w:ascii="宋体" w:hAnsi="宋体" w:cs="宋体"/>
                <w:sz w:val="24"/>
              </w:rPr>
            </w:pPr>
            <w:r>
              <w:rPr>
                <w:rFonts w:hint="eastAsia" w:ascii="宋体" w:hAnsi="宋体" w:cs="宋体"/>
                <w:sz w:val="24"/>
              </w:rPr>
              <w:t>负责苏州市双创中心线上服务平台建设和运维工作</w:t>
            </w:r>
          </w:p>
        </w:tc>
        <w:tc>
          <w:tcPr>
            <w:tcW w:w="6280" w:type="dxa"/>
            <w:vAlign w:val="center"/>
          </w:tcPr>
          <w:p>
            <w:pPr>
              <w:widowControl/>
              <w:jc w:val="center"/>
              <w:rPr>
                <w:rFonts w:ascii="宋体" w:hAnsi="宋体" w:cs="宋体"/>
                <w:sz w:val="24"/>
              </w:rPr>
            </w:pPr>
            <w:r>
              <w:rPr>
                <w:rFonts w:hint="eastAsia" w:ascii="宋体" w:hAnsi="宋体" w:cs="宋体"/>
                <w:sz w:val="24"/>
              </w:rPr>
              <w:t>保障苏州市双创中心线上服务平台正常运营，定期更新相关活动内容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rPr>
          <w:trHeight w:val="608"/>
        </w:trPr>
        <w:trPr>
          <w:trHeight w:val="608"/>
        </w:trPr>
        <w:trPr>
          <w:trHeight w:val="608"/>
        </w:trPr>
        <w:tc>
          <w:tcPr>
            <w:tcW w:w="3419" w:type="dxa"/>
            <w:vAlign w:val="center"/>
          </w:tcPr>
          <w:tcPr>
            <w:vMerge w:val="continue"/>
          </w:tcPr>
          <w:p>
            <w:pPr>
              <w:widowControl/>
              <w:jc w:val="center"/>
              <w:rPr>
                <w:rFonts w:ascii="宋体" w:hAnsi="宋体" w:cs="宋体"/>
                <w:kern w:val="0"/>
                <w:sz w:val="24"/>
              </w:rPr>
            </w:pPr>
            <w:r>
              <w:rPr>
                <w:rFonts w:hint="eastAsia" w:ascii="宋体" w:hAnsi="宋体" w:cs="宋体"/>
                <w:sz w:val="24"/>
              </w:rPr>
              <w:t/>
            </w:r>
          </w:p>
        </w:tc>
        <w:tc>
          <w:tcPr>
            <w:tcW w:w="3818" w:type="dxa"/>
            <w:vAlign w:val="center"/>
          </w:tcPr>
          <w:p>
            <w:pPr>
              <w:widowControl/>
              <w:jc w:val="center"/>
              <w:rPr>
                <w:rFonts w:ascii="宋体" w:hAnsi="宋体" w:cs="宋体"/>
                <w:sz w:val="24"/>
              </w:rPr>
            </w:pPr>
            <w:r>
              <w:rPr>
                <w:rFonts w:hint="eastAsia" w:ascii="宋体" w:hAnsi="宋体" w:cs="宋体"/>
                <w:sz w:val="24"/>
              </w:rPr>
              <w:t>承担苏州市双创中心运营管理工作</w:t>
            </w:r>
          </w:p>
        </w:tc>
        <w:tc>
          <w:tcPr>
            <w:tcW w:w="6280" w:type="dxa"/>
            <w:vAlign w:val="center"/>
          </w:tcPr>
          <w:p>
            <w:pPr>
              <w:widowControl/>
              <w:jc w:val="center"/>
              <w:rPr>
                <w:rFonts w:ascii="宋体" w:hAnsi="宋体" w:cs="宋体"/>
                <w:sz w:val="24"/>
              </w:rPr>
            </w:pPr>
            <w:r>
              <w:rPr>
                <w:rFonts w:hint="eastAsia" w:ascii="宋体" w:hAnsi="宋体" w:cs="宋体"/>
                <w:sz w:val="24"/>
              </w:rPr>
              <w:t>保障苏州市双创中心正常运营，对苏州市双创中心提供24小时保安及消防管理、保洁、绿化养护、食堂餐饮、前台客服及会务等服务；全年服务会议活动超200场。	</w:t>
            </w:r>
          </w:p>
        </w:tc>
      </w:tr>
    </w:tbl>
    <w:p w14:paraId="24A38881">
      <w:pPr>
        <w:spacing w:line="360" w:lineRule="auto"/>
        <w:ind w:left="600"/>
        <w:rPr>
          <w:rFonts w:ascii="黑体" w:hAnsi="黑体" w:eastAsia="黑体"/>
          <w:sz w:val="30"/>
        </w:rPr>
      </w:pPr>
    </w:p>
    <w:p w14:paraId="2EB75D17">
      <w:pPr>
        <w:spacing w:line="360" w:lineRule="auto"/>
        <w:ind w:left="600"/>
        <w:rPr>
          <w:rFonts w:ascii="黑体" w:hAnsi="黑体" w:eastAsia="黑体"/>
          <w:sz w:val="30"/>
        </w:rPr>
      </w:pPr>
    </w:p>
    <w:p w14:paraId="0A35E1A9">
      <w:pPr>
        <w:numPr>
          <w:ilvl w:val="0"/>
          <w:numId w:val="1"/>
        </w:numPr>
        <w:spacing w:line="360" w:lineRule="auto"/>
        <w:ind w:left="600"/>
        <w:rPr>
          <w:rFonts w:ascii="黑体" w:hAnsi="黑体" w:eastAsia="黑体"/>
          <w:sz w:val="30"/>
        </w:rPr>
      </w:pPr>
      <w:r>
        <w:rPr>
          <w:rFonts w:hint="eastAsia" w:ascii="黑体" w:hAnsi="黑体" w:eastAsia="黑体"/>
          <w:sz w:val="30"/>
        </w:rPr>
        <w:t>部门整体自评表</w:t>
      </w:r>
    </w:p>
    <w:tbl>
      <w:tblPr>
        <w:tblStyle w:val="5"/>
        <w:tblpPr w:leftFromText="180" w:rightFromText="180" w:vertAnchor="text" w:horzAnchor="page" w:tblpX="1656" w:tblpY="127"/>
        <w:tblOverlap w:val="never"/>
        <w:tblW w:w="1468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67"/>
        <w:gridCol w:w="2051"/>
        <w:gridCol w:w="2061"/>
        <w:gridCol w:w="1987"/>
        <w:gridCol w:w="1799"/>
        <w:gridCol w:w="1866"/>
        <w:gridCol w:w="1787"/>
        <w:gridCol w:w="1071"/>
      </w:tblGrid>
      <w:tr w14:paraId="0B32DD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trPr>
        <w:tc>
          <w:tcPr>
            <w:tcW w:w="2067" w:type="dxa"/>
            <w:shd w:val="clear" w:color="000000" w:fill="BFBFBF"/>
            <w:vAlign w:val="center"/>
          </w:tcPr>
          <w:p w14:paraId="53BD466F">
            <w:pPr>
              <w:widowControl/>
              <w:jc w:val="center"/>
              <w:rPr>
                <w:rFonts w:ascii="宋体" w:hAnsi="宋体" w:cs="宋体"/>
                <w:b/>
                <w:bCs/>
                <w:kern w:val="0"/>
                <w:sz w:val="24"/>
              </w:rPr>
            </w:pPr>
            <w:r>
              <w:rPr>
                <w:rFonts w:hint="eastAsia" w:ascii="宋体" w:hAnsi="宋体" w:cs="宋体"/>
                <w:b/>
                <w:bCs/>
                <w:kern w:val="0"/>
                <w:sz w:val="24"/>
              </w:rPr>
              <w:t/>
            </w:r>
          </w:p>
        </w:tc>
        <w:tc>
          <w:tcPr>
            <w:tcW w:w="2051" w:type="dxa"/>
            <w:shd w:val="clear" w:color="000000" w:fill="BFBFBF"/>
            <w:vAlign w:val="center"/>
          </w:tcPr>
          <w:p w14:paraId="1CC58553">
            <w:pPr>
              <w:widowControl/>
              <w:jc w:val="center"/>
              <w:rPr>
                <w:rFonts w:ascii="宋体" w:hAnsi="宋体" w:cs="宋体"/>
                <w:b/>
                <w:bCs/>
                <w:kern w:val="0"/>
                <w:sz w:val="24"/>
              </w:rPr>
            </w:pPr>
            <w:r>
              <w:rPr>
                <w:rFonts w:hint="eastAsia" w:ascii="宋体" w:hAnsi="宋体" w:cs="宋体"/>
                <w:b/>
                <w:bCs/>
                <w:sz w:val="24"/>
              </w:rPr>
              <w:t>类别</w:t>
            </w:r>
          </w:p>
        </w:tc>
        <w:tc>
          <w:tcPr>
            <w:tcW w:w="2061" w:type="dxa"/>
            <w:shd w:val="clear" w:color="000000" w:fill="BFBFBF"/>
            <w:vAlign w:val="center"/>
          </w:tcPr>
          <w:p w14:paraId="3F4DC382">
            <w:pPr>
              <w:widowControl/>
              <w:jc w:val="center"/>
              <w:rPr>
                <w:rFonts w:ascii="宋体" w:hAnsi="宋体" w:cs="宋体"/>
                <w:b/>
                <w:bCs/>
                <w:kern w:val="0"/>
                <w:sz w:val="24"/>
              </w:rPr>
            </w:pPr>
            <w:r>
              <w:rPr>
                <w:rFonts w:hint="eastAsia" w:ascii="宋体" w:hAnsi="宋体" w:cs="宋体"/>
                <w:b/>
                <w:bCs/>
                <w:sz w:val="24"/>
              </w:rPr>
              <w:t>指标名称</w:t>
            </w:r>
          </w:p>
        </w:tc>
        <w:tc>
          <w:tcPr>
            <w:tcW w:w="1987" w:type="dxa"/>
            <w:shd w:val="clear" w:color="000000" w:fill="BFBFBF"/>
            <w:vAlign w:val="center"/>
          </w:tcPr>
          <w:p w14:paraId="5D2A2967">
            <w:pPr>
              <w:widowControl/>
              <w:jc w:val="center"/>
              <w:rPr>
                <w:rFonts w:ascii="宋体" w:hAnsi="宋体" w:cs="宋体"/>
                <w:b/>
                <w:bCs/>
                <w:kern w:val="0"/>
                <w:sz w:val="24"/>
              </w:rPr>
            </w:pPr>
            <w:r>
              <w:rPr>
                <w:rFonts w:hint="eastAsia" w:ascii="宋体" w:hAnsi="宋体" w:cs="宋体"/>
                <w:b/>
                <w:bCs/>
                <w:sz w:val="24"/>
              </w:rPr>
              <w:t>指标目标值</w:t>
            </w:r>
          </w:p>
        </w:tc>
        <w:tc>
          <w:tcPr>
            <w:tcW w:w="1799" w:type="dxa"/>
            <w:shd w:val="clear" w:color="000000" w:fill="BFBFBF"/>
            <w:vAlign w:val="center"/>
          </w:tcPr>
          <w:p w14:paraId="700B5F42">
            <w:pPr>
              <w:widowControl/>
              <w:jc w:val="center"/>
              <w:rPr>
                <w:rFonts w:ascii="宋体" w:hAnsi="宋体" w:cs="宋体"/>
                <w:b/>
                <w:bCs/>
                <w:kern w:val="0"/>
                <w:sz w:val="24"/>
              </w:rPr>
            </w:pPr>
            <w:r>
              <w:rPr>
                <w:rFonts w:hint="eastAsia" w:ascii="宋体" w:hAnsi="宋体" w:cs="宋体"/>
                <w:b/>
                <w:bCs/>
                <w:sz w:val="24"/>
              </w:rPr>
              <w:t>指标完成值</w:t>
            </w:r>
          </w:p>
        </w:tc>
        <w:tc>
          <w:tcPr>
            <w:tcW w:w="1866" w:type="dxa"/>
            <w:shd w:val="clear" w:color="000000" w:fill="BFBFBF"/>
            <w:vAlign w:val="center"/>
          </w:tcPr>
          <w:p w14:paraId="3082178C">
            <w:pPr>
              <w:widowControl/>
              <w:jc w:val="center"/>
              <w:rPr>
                <w:rFonts w:ascii="宋体" w:hAnsi="宋体" w:cs="宋体"/>
                <w:b/>
                <w:bCs/>
                <w:kern w:val="0"/>
                <w:sz w:val="24"/>
              </w:rPr>
            </w:pPr>
            <w:r>
              <w:rPr>
                <w:rFonts w:hint="eastAsia" w:ascii="宋体" w:hAnsi="宋体" w:cs="宋体"/>
                <w:b/>
                <w:bCs/>
                <w:sz w:val="24"/>
              </w:rPr>
              <w:t>完成值来源</w:t>
            </w:r>
          </w:p>
        </w:tc>
        <w:tc>
          <w:tcPr>
            <w:tcW w:w="1787" w:type="dxa"/>
            <w:shd w:val="clear" w:color="000000" w:fill="BFBFBF"/>
            <w:vAlign w:val="center"/>
          </w:tcPr>
          <w:p w14:paraId="49382FB0">
            <w:pPr>
              <w:widowControl/>
              <w:jc w:val="center"/>
              <w:rPr>
                <w:rFonts w:ascii="宋体" w:hAnsi="宋体" w:cs="宋体"/>
                <w:b/>
                <w:bCs/>
                <w:sz w:val="24"/>
              </w:rPr>
            </w:pPr>
            <w:r>
              <w:rPr>
                <w:rFonts w:hint="eastAsia" w:ascii="宋体" w:hAnsi="宋体" w:cs="宋体"/>
                <w:b/>
                <w:bCs/>
                <w:sz w:val="24"/>
              </w:rPr>
              <w:t>偏差情况</w:t>
            </w:r>
          </w:p>
        </w:tc>
        <w:tc>
          <w:tcPr>
            <w:tcW w:w="1071" w:type="dxa"/>
            <w:shd w:val="clear" w:color="000000" w:fill="BFBFBF"/>
          </w:tcPr>
          <w:p w14:paraId="6998F3EA">
            <w:pPr>
              <w:widowControl/>
              <w:jc w:val="center"/>
              <w:rPr>
                <w:rFonts w:ascii="黑体" w:hAnsi="黑体" w:eastAsia="黑体"/>
                <w:sz w:val="30"/>
              </w:rPr>
            </w:pPr>
            <w:r>
              <w:rPr>
                <w:rFonts w:hint="eastAsia" w:ascii="宋体" w:hAnsi="宋体" w:cs="宋体"/>
                <w:b/>
                <w:bCs/>
                <w:sz w:val="24"/>
              </w:rPr>
              <w:t>原因分析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restart"/>
          </w:tcPr>
          <w:p>
            <w:pPr>
              <w:spacing w:line="360" w:lineRule="auto"/>
              <w:jc w:val="center"/>
              <w:rPr>
                <w:rFonts w:ascii="宋体" w:hAnsi="宋体" w:cs="宋体"/>
                <w:kern w:val="0"/>
                <w:sz w:val="24"/>
              </w:rPr>
            </w:pPr>
            <w:r>
              <w:rPr>
                <w:rFonts w:hint="eastAsia" w:ascii="宋体" w:hAnsi="宋体" w:cs="宋体"/>
                <w:sz w:val="24"/>
              </w:rPr>
              <w:t>分解目标</w:t>
            </w:r>
          </w:p>
        </w:tc>
        <w:tc>
          <w:tcPr>
            <w:tcW w:w="2051" w:type="dxa"/>
            <w:vAlign w:val="center"/>
          </w:tcPr>
          <w:tcPr>
            <w:vMerge w:val="restart"/>
          </w:tcPr>
          <w:p>
            <w:pPr>
              <w:spacing w:line="360" w:lineRule="auto"/>
              <w:jc w:val="center"/>
              <w:rPr>
                <w:rFonts w:ascii="宋体" w:hAnsi="宋体" w:cs="宋体"/>
                <w:kern w:val="0"/>
                <w:sz w:val="24"/>
              </w:rPr>
            </w:pPr>
            <w:r>
              <w:rPr>
                <w:rFonts w:hint="eastAsia" w:ascii="宋体" w:hAnsi="宋体" w:cs="宋体"/>
                <w:sz w:val="24"/>
              </w:rPr>
              <w:t>决策</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工作计划制定健全性</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健全</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健全</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中长期规划制定健全性</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健全</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健全</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绩效指标明确性</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明确</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明确</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绩效目标合理性</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合理</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合理</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预算编制科学性</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科学</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科学</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预算编制规范性</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规范</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规范</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restart"/>
          </w:tcPr>
          <w:p>
            <w:pPr>
              <w:spacing w:line="360" w:lineRule="auto"/>
              <w:jc w:val="center"/>
              <w:rPr>
                <w:rFonts w:ascii="宋体" w:hAnsi="宋体" w:cs="宋体"/>
                <w:kern w:val="0"/>
                <w:sz w:val="24"/>
              </w:rPr>
            </w:pPr>
            <w:r>
              <w:rPr>
                <w:rFonts w:hint="eastAsia" w:ascii="宋体" w:hAnsi="宋体" w:cs="宋体"/>
                <w:sz w:val="24"/>
              </w:rPr>
              <w:t>过程</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绩效管理覆盖率</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0.00%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预算管理制度健全性</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健全</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健全</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预决算信息公开度</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公开</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公开</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资金使用合规性</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合规</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合规</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非税收入管理合规性</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合规</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合规</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基础信息完善性</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完善</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完善</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固定资产利用率</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0.00%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资产管理制度健全性</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健全</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健全</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资产管理规范性</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规范</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规范</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项目管理制度执行规范性</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规范</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规范</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项目管理制度健全性</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健全</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健全</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人员管理制度执行有效性</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有效</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有效</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在职人员控制率</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0.00%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人员管理制度健全性</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健全</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健全</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组织建设工作及时完成率</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0.00%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纪检监察工作有效性</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有效</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有效</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业务学习与培训及时完成率</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0.00%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政府采购执行率</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0.00%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非税收入预算完成率</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&gt;=100%</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0.00%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公用经费控制率</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&lt;=100%</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0.00%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支付进度符合率</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0.00%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结转结余率</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预算偏差率</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&lt;=10%</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-3.14%</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-131.40%</w:t>
            </w:r>
          </w:p>
        </w:tc>
        <w:tc>
          <w:tcPr>
            <w:tcW w:w="1071" w:type="dxa"/>
          </w:tcPr>
          <w:p>
            <w:pPr>
              <w:spacing w:line="360" w:lineRule="auto"/>
              <w:rPr>
                <w:rFonts w:ascii="宋体" w:hAnsi="宋体" w:cs="宋体"/>
                <w:kern w:val="0"/>
                <w:sz w:val="22"/>
              </w:rPr>
            </w:pPr>
            <w:r>
              <w:rPr>
                <w:rFonts w:hint="eastAsia" w:ascii="宋体" w:hAnsi="宋体" w:cs="宋体"/>
                <w:sz w:val="24"/>
              </w:rPr>
              <w:t>年末用款计划退回指标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预算执行率</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96.86%</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-3.14%</w:t>
            </w:r>
          </w:p>
        </w:tc>
        <w:tc>
          <w:tcPr>
            <w:tcW w:w="1071" w:type="dxa"/>
          </w:tcPr>
          <w:p>
            <w:pPr>
              <w:spacing w:line="360" w:lineRule="auto"/>
              <w:rPr>
                <w:rFonts w:ascii="宋体" w:hAnsi="宋体" w:cs="宋体"/>
                <w:kern w:val="0"/>
                <w:sz w:val="22"/>
              </w:rPr>
            </w:pPr>
            <w:r>
              <w:rPr>
                <w:rFonts w:hint="eastAsia" w:ascii="宋体" w:hAnsi="宋体" w:cs="宋体"/>
                <w:sz w:val="24"/>
              </w:rPr>
              <w:t>年末用款计划退回指标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预算调整率</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24.29%</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1071" w:type="dxa"/>
          </w:tcPr>
          <w:p>
            <w:pPr>
              <w:spacing w:line="360" w:lineRule="auto"/>
              <w:rPr>
                <w:rFonts w:ascii="宋体" w:hAnsi="宋体" w:cs="宋体"/>
                <w:kern w:val="0"/>
                <w:sz w:val="22"/>
              </w:rPr>
            </w:pPr>
            <w:r>
              <w:rPr>
                <w:rFonts w:hint="eastAsia" w:ascii="宋体" w:hAnsi="宋体" w:cs="宋体"/>
                <w:sz w:val="24"/>
              </w:rPr>
              <w:t>本年度追加基本支出人员经费和科技创新资金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“三公经费”变动率</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&lt;=0%</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restart"/>
          </w:tcPr>
          <w:p>
            <w:pPr>
              <w:spacing w:line="360" w:lineRule="auto"/>
              <w:jc w:val="center"/>
              <w:rPr>
                <w:rFonts w:ascii="宋体" w:hAnsi="宋体" w:cs="宋体"/>
                <w:kern w:val="0"/>
                <w:sz w:val="24"/>
              </w:rPr>
            </w:pPr>
            <w:r>
              <w:rPr>
                <w:rFonts w:hint="eastAsia" w:ascii="宋体" w:hAnsi="宋体" w:cs="宋体"/>
                <w:sz w:val="24"/>
              </w:rPr>
              <w:t>效益</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保障科技政策的有效落实</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较显著</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较显著</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构建有利于企业创新发展的良好信息环境</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较显著</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较显著</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营造创新创业的良好氛围</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较显著</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较显著</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p>
            <w:pPr>
              <w:spacing w:line="360" w:lineRule="auto"/>
              <w:jc w:val="center"/>
              <w:rPr>
                <w:rFonts w:ascii="宋体" w:hAnsi="宋体" w:cs="宋体"/>
                <w:kern w:val="0"/>
                <w:sz w:val="24"/>
              </w:rPr>
            </w:pPr>
            <w:r>
              <w:rPr>
                <w:rFonts w:hint="eastAsia" w:ascii="宋体" w:hAnsi="宋体" w:cs="宋体"/>
                <w:sz w:val="24"/>
              </w:rPr>
              <w:t>满意度</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科技创新主体满意度</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&gt;=90%</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90%</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0.00%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restart"/>
          </w:tcPr>
          <w:p>
            <w:pPr>
              <w:spacing w:line="360" w:lineRule="auto"/>
              <w:jc w:val="center"/>
              <w:rPr>
                <w:rFonts w:ascii="宋体" w:hAnsi="宋体" w:cs="宋体"/>
                <w:kern w:val="0"/>
                <w:sz w:val="24"/>
              </w:rPr>
            </w:pPr>
            <w:r>
              <w:rPr>
                <w:rFonts w:hint="eastAsia" w:ascii="宋体" w:hAnsi="宋体" w:cs="宋体"/>
                <w:sz w:val="24"/>
              </w:rPr>
              <w:t>履职</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数据更新量</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&gt;=100000条</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100000条</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0.00%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服务覆盖数</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&gt;=500家次</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500家次</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0.00%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人才各类政策解答服务家次</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&gt;=1000家次</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1000家次</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0.00%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公共设施设备维护保养完好率</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0.00%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组织各类沙龙、对接、讲座等活动场次</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&gt;=8场次</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8场次</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0.00%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跟踪产业链</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=4条</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4条</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0.00%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开展科技咨询服务</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&gt;=500项</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500项</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0.00%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系统正常使用天数</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=1年</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1年</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0.00%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开展科技计划项目的中期检查、滚动支持、结题验收等工作</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有序推进</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有序推进</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项目路演、创业沙龙、产学研对接等活动</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&gt;=20场次</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20场次</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0.00%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定期更新平台内容，发布最新的科技创新动态</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&gt;=96条</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96条</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0.00%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服务覆盖家次</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&gt;=900家次</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900家次</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0.00%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宣传报道</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&gt;=50篇</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50篇</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0.00%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完成科技统计数据分析类材料</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&gt;=1份</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1份</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0.00%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各类人才项目受理数</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&gt;=1200项</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1200项</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0.00%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编撰完成《2024年度苏州市科技统计数据汇编》</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完成</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完成</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项目申报辅导</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&gt;=4场次</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4场次</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0.00%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国家、省、市各类科技统计的组织实施、数据审核及汇总</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有序推进</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有序推进</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重大网络安全事故数</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=0个</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0个</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安家补贴统计调研服务覆盖人次数</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&gt;=400人次</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400人次</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0.00%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政策解读、人才政策宣讲会等活动</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&gt;=5场次</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5场次</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0.00%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国家、省、市科技项目的申报受理、形式审查、评审组织、合同管理等工作</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有序推进</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有序推进</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组织国家、省、市各级各类人才项目评审批次数</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=4批次</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4批次</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0.00%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开设产业情报专栏</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=4个</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4个</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0.00%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服务期限</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=1年</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1年</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0.00%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网络故障时长</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=0小时</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0小时</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科技专家库维护</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有序推进</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有序推进</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卫生保洁及时率</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&gt;=90%</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90%</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0.00%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消监控系统完好率</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0.00%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信息摘编及分析报告</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&gt;=10项</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10项</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0.00%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产业链数据标引</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&gt;=2000条</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2000条</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0.00%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数据总量</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&gt;=3000万条</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3000万条</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0.00%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物业服务完成及时性</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&lt;=1天</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1天</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0.00%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实验动物生产及使用许可证的申报、年检相关工作</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有序推进</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有序推进</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071" w:type="dxa"/>
          </w:tcPr>
          <w:p>
            <w:pPr>
              <w:spacing w:line="360" w:lineRule="auto"/>
              <w:rPr>
                <w:rFonts w:ascii="宋体" w:hAnsi="宋体" w:cs="宋体"/>
                <w:kern w:val="0"/>
                <w:sz w:val="22"/>
              </w:rPr>
            </w:pPr>
            <w:r>
              <w:rPr>
                <w:rFonts w:hint="eastAsia" w:ascii="宋体" w:hAnsi="宋体" w:cs="宋体"/>
                <w:sz w:val="24"/>
              </w:rPr>
              <w:t/>
            </w:r>
          </w:p>
        </w:tc>
      </w:tr>
    </w:tbl>
    <w:p w14:paraId="7B5F5F05">
      <w:pPr>
        <w:spacing w:line="360" w:lineRule="auto"/>
        <w:ind w:left="600"/>
        <w:rPr>
          <w:rFonts w:ascii="黑体" w:hAnsi="黑体" w:eastAsia="黑体"/>
          <w:sz w:val="30"/>
        </w:rPr>
      </w:pPr>
    </w:p>
    <w:sectPr>
      <w:headerReference r:id="rId7" w:type="default"/>
      <w:footerReference r:id="rId8" w:type="default"/>
      <w:pgSz w:w="16840" w:h="11907" w:orient="landscape"/>
      <w:pgMar w:top="1559" w:right="1247" w:bottom="1400" w:left="1089" w:header="851" w:footer="992" w:gutter="0"/>
      <w:paperSrc w:first="15" w:other="15"/>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新宋体">
    <w:panose1 w:val="02010609030101010101"/>
    <w:charset w:val="86"/>
    <w:family w:val="modern"/>
    <w:pitch w:val="default"/>
    <w:sig w:usb0="00000283" w:usb1="288F0000" w:usb2="0000000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C23819">
    <w:pPr>
      <w:pStyle w:val="3"/>
      <w:framePr w:wrap="around" w:vAnchor="text" w:hAnchor="margin" w:xAlign="center" w:y="1"/>
      <w:rPr>
        <w:rStyle w:val="8"/>
      </w:rPr>
    </w:pPr>
    <w:r>
      <w:fldChar w:fldCharType="begin"/>
    </w:r>
    <w:r>
      <w:rPr>
        <w:rStyle w:val="8"/>
      </w:rPr>
      <w:instrText xml:space="preserve">PAGE  </w:instrText>
    </w:r>
    <w:r>
      <w:fldChar w:fldCharType="separate"/>
    </w:r>
    <w:r>
      <w:rPr>
        <w:rStyle w:val="8"/>
      </w:rPr>
      <w:t>1</w:t>
    </w:r>
    <w:r>
      <w:fldChar w:fldCharType="end"/>
    </w:r>
  </w:p>
  <w:p w14:paraId="0C328767">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87DEFE">
    <w:pPr>
      <w:pStyle w:val="3"/>
      <w:framePr w:wrap="around" w:vAnchor="text" w:hAnchor="margin" w:xAlign="center" w:y="1"/>
      <w:rPr>
        <w:rStyle w:val="8"/>
      </w:rPr>
    </w:pPr>
    <w:r>
      <w:fldChar w:fldCharType="begin"/>
    </w:r>
    <w:r>
      <w:rPr>
        <w:rStyle w:val="8"/>
      </w:rPr>
      <w:instrText xml:space="preserve">PAGE  </w:instrText>
    </w:r>
    <w:r>
      <w:fldChar w:fldCharType="end"/>
    </w:r>
  </w:p>
  <w:p w14:paraId="094E44E9">
    <w:pPr>
      <w:pStyle w:val="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A66061">
    <w:pPr>
      <w:pStyle w:val="3"/>
      <w:framePr w:wrap="around" w:vAnchor="text" w:hAnchor="margin" w:xAlign="center" w:y="1"/>
      <w:rPr>
        <w:rStyle w:val="8"/>
      </w:rPr>
    </w:pPr>
    <w:r>
      <w:fldChar w:fldCharType="begin"/>
    </w:r>
    <w:r>
      <w:rPr>
        <w:rStyle w:val="8"/>
      </w:rPr>
      <w:instrText xml:space="preserve">PAGE  </w:instrText>
    </w:r>
    <w:r>
      <w:fldChar w:fldCharType="separate"/>
    </w:r>
    <w:r>
      <w:rPr>
        <w:rStyle w:val="8"/>
      </w:rPr>
      <w:t>2</w:t>
    </w:r>
    <w:r>
      <w:fldChar w:fldCharType="end"/>
    </w:r>
  </w:p>
  <w:p w14:paraId="52662FCA">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E375BC">
    <w:pPr>
      <w:pStyle w:val="4"/>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157BC6">
    <w:pPr>
      <w:pStyle w:val="4"/>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B2CE92">
    <w:pPr>
      <w:pStyle w:val="4"/>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D7BB9F1"/>
    <w:multiLevelType w:val="singleLevel"/>
    <w:tmpl w:val="5D7BB9F1"/>
    <w:lvl w:ilvl="0" w:tentative="0">
      <w:start w:val="7"/>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5"/>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YjI2ZWIxNzBhOWM3YmNkMjVjMWZjMWQ2NzA4MDFlZmYifQ=="/>
  </w:docVars>
  <w:rsids>
    <w:rsidRoot w:val="00063C33"/>
    <w:rsid w:val="00000AE5"/>
    <w:rsid w:val="0000149B"/>
    <w:rsid w:val="00003466"/>
    <w:rsid w:val="00005172"/>
    <w:rsid w:val="000100EA"/>
    <w:rsid w:val="000174EF"/>
    <w:rsid w:val="00017B0A"/>
    <w:rsid w:val="00023671"/>
    <w:rsid w:val="00026029"/>
    <w:rsid w:val="000264BF"/>
    <w:rsid w:val="00037A63"/>
    <w:rsid w:val="00040CA6"/>
    <w:rsid w:val="00043B48"/>
    <w:rsid w:val="00052BE5"/>
    <w:rsid w:val="00060137"/>
    <w:rsid w:val="00063750"/>
    <w:rsid w:val="00063C33"/>
    <w:rsid w:val="00063D5B"/>
    <w:rsid w:val="00065156"/>
    <w:rsid w:val="00065B29"/>
    <w:rsid w:val="00067138"/>
    <w:rsid w:val="0006750F"/>
    <w:rsid w:val="000744C4"/>
    <w:rsid w:val="00075453"/>
    <w:rsid w:val="00075D05"/>
    <w:rsid w:val="000822BA"/>
    <w:rsid w:val="000824B9"/>
    <w:rsid w:val="00083E7F"/>
    <w:rsid w:val="000903A9"/>
    <w:rsid w:val="00090A12"/>
    <w:rsid w:val="00091DCD"/>
    <w:rsid w:val="000920AE"/>
    <w:rsid w:val="00096524"/>
    <w:rsid w:val="000A413D"/>
    <w:rsid w:val="000A5944"/>
    <w:rsid w:val="000B00C1"/>
    <w:rsid w:val="000B1FE0"/>
    <w:rsid w:val="000B2275"/>
    <w:rsid w:val="000B2CE5"/>
    <w:rsid w:val="000B5A1C"/>
    <w:rsid w:val="000B7645"/>
    <w:rsid w:val="000C44B7"/>
    <w:rsid w:val="000E5B04"/>
    <w:rsid w:val="000E69D0"/>
    <w:rsid w:val="000E7FBE"/>
    <w:rsid w:val="000F10A1"/>
    <w:rsid w:val="000F2CE9"/>
    <w:rsid w:val="000F5BD7"/>
    <w:rsid w:val="000F6964"/>
    <w:rsid w:val="00100A3B"/>
    <w:rsid w:val="001014B4"/>
    <w:rsid w:val="00104DFE"/>
    <w:rsid w:val="00106E72"/>
    <w:rsid w:val="00113289"/>
    <w:rsid w:val="00113D04"/>
    <w:rsid w:val="00113E8E"/>
    <w:rsid w:val="0011541B"/>
    <w:rsid w:val="0012134D"/>
    <w:rsid w:val="001220BE"/>
    <w:rsid w:val="00125CF2"/>
    <w:rsid w:val="00126E12"/>
    <w:rsid w:val="00130587"/>
    <w:rsid w:val="00130A6B"/>
    <w:rsid w:val="00131B00"/>
    <w:rsid w:val="00132D88"/>
    <w:rsid w:val="00133A9B"/>
    <w:rsid w:val="0013429F"/>
    <w:rsid w:val="001410F0"/>
    <w:rsid w:val="001420CF"/>
    <w:rsid w:val="00143A75"/>
    <w:rsid w:val="00143BA3"/>
    <w:rsid w:val="0014417A"/>
    <w:rsid w:val="001451E1"/>
    <w:rsid w:val="00147FEA"/>
    <w:rsid w:val="0015165E"/>
    <w:rsid w:val="00155CA1"/>
    <w:rsid w:val="001612E1"/>
    <w:rsid w:val="00164523"/>
    <w:rsid w:val="00165B5D"/>
    <w:rsid w:val="001662B4"/>
    <w:rsid w:val="0017063E"/>
    <w:rsid w:val="00177F82"/>
    <w:rsid w:val="001808D8"/>
    <w:rsid w:val="0018270E"/>
    <w:rsid w:val="00182B89"/>
    <w:rsid w:val="00182FC9"/>
    <w:rsid w:val="00190510"/>
    <w:rsid w:val="001A0AFE"/>
    <w:rsid w:val="001A1132"/>
    <w:rsid w:val="001B04B5"/>
    <w:rsid w:val="001B5269"/>
    <w:rsid w:val="001B7A52"/>
    <w:rsid w:val="001C0B83"/>
    <w:rsid w:val="001C31AD"/>
    <w:rsid w:val="001C4669"/>
    <w:rsid w:val="001C64FE"/>
    <w:rsid w:val="001C7FFB"/>
    <w:rsid w:val="001D03A1"/>
    <w:rsid w:val="001D2206"/>
    <w:rsid w:val="001D31D8"/>
    <w:rsid w:val="001D41B6"/>
    <w:rsid w:val="001D785B"/>
    <w:rsid w:val="001D7F4F"/>
    <w:rsid w:val="001E09A5"/>
    <w:rsid w:val="001E11AE"/>
    <w:rsid w:val="001E387E"/>
    <w:rsid w:val="001E4826"/>
    <w:rsid w:val="001E55E3"/>
    <w:rsid w:val="001F0EC7"/>
    <w:rsid w:val="001F1C88"/>
    <w:rsid w:val="001F2939"/>
    <w:rsid w:val="001F3B30"/>
    <w:rsid w:val="001F3BCB"/>
    <w:rsid w:val="00200D3F"/>
    <w:rsid w:val="0020308A"/>
    <w:rsid w:val="00204221"/>
    <w:rsid w:val="00206133"/>
    <w:rsid w:val="00213BC8"/>
    <w:rsid w:val="00216350"/>
    <w:rsid w:val="002166D3"/>
    <w:rsid w:val="00216F1E"/>
    <w:rsid w:val="00217E52"/>
    <w:rsid w:val="00222156"/>
    <w:rsid w:val="00223CA3"/>
    <w:rsid w:val="00227A2B"/>
    <w:rsid w:val="0023035D"/>
    <w:rsid w:val="002340B0"/>
    <w:rsid w:val="00234E4B"/>
    <w:rsid w:val="0023634E"/>
    <w:rsid w:val="002408C3"/>
    <w:rsid w:val="0024113F"/>
    <w:rsid w:val="00244426"/>
    <w:rsid w:val="0024746E"/>
    <w:rsid w:val="0025051E"/>
    <w:rsid w:val="00252592"/>
    <w:rsid w:val="00253D90"/>
    <w:rsid w:val="0025423D"/>
    <w:rsid w:val="00254F9A"/>
    <w:rsid w:val="00257BC2"/>
    <w:rsid w:val="00261488"/>
    <w:rsid w:val="00264AA2"/>
    <w:rsid w:val="00265B16"/>
    <w:rsid w:val="00265DA5"/>
    <w:rsid w:val="002673D0"/>
    <w:rsid w:val="002716BD"/>
    <w:rsid w:val="00273D49"/>
    <w:rsid w:val="00283319"/>
    <w:rsid w:val="00285317"/>
    <w:rsid w:val="0028539D"/>
    <w:rsid w:val="00286629"/>
    <w:rsid w:val="00286702"/>
    <w:rsid w:val="00286D47"/>
    <w:rsid w:val="002900B4"/>
    <w:rsid w:val="00291982"/>
    <w:rsid w:val="00294622"/>
    <w:rsid w:val="002A1D40"/>
    <w:rsid w:val="002A520E"/>
    <w:rsid w:val="002A71E9"/>
    <w:rsid w:val="002A740D"/>
    <w:rsid w:val="002B3130"/>
    <w:rsid w:val="002B46D0"/>
    <w:rsid w:val="002B4938"/>
    <w:rsid w:val="002B4C42"/>
    <w:rsid w:val="002B5C95"/>
    <w:rsid w:val="002B7826"/>
    <w:rsid w:val="002B7DA5"/>
    <w:rsid w:val="002C14BC"/>
    <w:rsid w:val="002C40C2"/>
    <w:rsid w:val="002C50BE"/>
    <w:rsid w:val="002C58CE"/>
    <w:rsid w:val="002C6932"/>
    <w:rsid w:val="002D37C3"/>
    <w:rsid w:val="002D39F6"/>
    <w:rsid w:val="002E02D4"/>
    <w:rsid w:val="002E3E46"/>
    <w:rsid w:val="002E6262"/>
    <w:rsid w:val="002F2F89"/>
    <w:rsid w:val="002F3573"/>
    <w:rsid w:val="002F79DA"/>
    <w:rsid w:val="003023BE"/>
    <w:rsid w:val="003047D9"/>
    <w:rsid w:val="00304E50"/>
    <w:rsid w:val="0031251A"/>
    <w:rsid w:val="00313B31"/>
    <w:rsid w:val="00313C95"/>
    <w:rsid w:val="00314B04"/>
    <w:rsid w:val="003205DD"/>
    <w:rsid w:val="003212A4"/>
    <w:rsid w:val="00321645"/>
    <w:rsid w:val="003224A9"/>
    <w:rsid w:val="00323407"/>
    <w:rsid w:val="00324653"/>
    <w:rsid w:val="00325446"/>
    <w:rsid w:val="003255FE"/>
    <w:rsid w:val="00327EE2"/>
    <w:rsid w:val="00330CB3"/>
    <w:rsid w:val="00332C74"/>
    <w:rsid w:val="00335FCC"/>
    <w:rsid w:val="00336C7D"/>
    <w:rsid w:val="00342E62"/>
    <w:rsid w:val="00343C7E"/>
    <w:rsid w:val="0034643F"/>
    <w:rsid w:val="00346D0D"/>
    <w:rsid w:val="00350DCA"/>
    <w:rsid w:val="00350EF3"/>
    <w:rsid w:val="00351E9C"/>
    <w:rsid w:val="00353E46"/>
    <w:rsid w:val="00354DA3"/>
    <w:rsid w:val="0035535B"/>
    <w:rsid w:val="003557CD"/>
    <w:rsid w:val="00355802"/>
    <w:rsid w:val="00362F2E"/>
    <w:rsid w:val="00365C54"/>
    <w:rsid w:val="003700B6"/>
    <w:rsid w:val="00370935"/>
    <w:rsid w:val="00371DB2"/>
    <w:rsid w:val="003729B0"/>
    <w:rsid w:val="00373041"/>
    <w:rsid w:val="003753A8"/>
    <w:rsid w:val="003831C1"/>
    <w:rsid w:val="00393CB1"/>
    <w:rsid w:val="003A5262"/>
    <w:rsid w:val="003B2F39"/>
    <w:rsid w:val="003B3410"/>
    <w:rsid w:val="003B36E9"/>
    <w:rsid w:val="003B6092"/>
    <w:rsid w:val="003C042E"/>
    <w:rsid w:val="003C06AC"/>
    <w:rsid w:val="003C1186"/>
    <w:rsid w:val="003C391B"/>
    <w:rsid w:val="003C4D46"/>
    <w:rsid w:val="003D01B1"/>
    <w:rsid w:val="003D0B70"/>
    <w:rsid w:val="003D72AD"/>
    <w:rsid w:val="003D7F91"/>
    <w:rsid w:val="003E2A48"/>
    <w:rsid w:val="003E2F63"/>
    <w:rsid w:val="003E65CC"/>
    <w:rsid w:val="003E6D22"/>
    <w:rsid w:val="003F2293"/>
    <w:rsid w:val="00400243"/>
    <w:rsid w:val="00405CA6"/>
    <w:rsid w:val="00410C77"/>
    <w:rsid w:val="00411D37"/>
    <w:rsid w:val="00424485"/>
    <w:rsid w:val="004257E1"/>
    <w:rsid w:val="00425AA3"/>
    <w:rsid w:val="004305C8"/>
    <w:rsid w:val="0043312C"/>
    <w:rsid w:val="00436533"/>
    <w:rsid w:val="00436EC1"/>
    <w:rsid w:val="004403E7"/>
    <w:rsid w:val="004423E2"/>
    <w:rsid w:val="00445706"/>
    <w:rsid w:val="0045004A"/>
    <w:rsid w:val="004545F2"/>
    <w:rsid w:val="00454BDA"/>
    <w:rsid w:val="00457C9A"/>
    <w:rsid w:val="004611B1"/>
    <w:rsid w:val="0046258B"/>
    <w:rsid w:val="00466701"/>
    <w:rsid w:val="00471F88"/>
    <w:rsid w:val="00473304"/>
    <w:rsid w:val="00475B06"/>
    <w:rsid w:val="00476840"/>
    <w:rsid w:val="0048152F"/>
    <w:rsid w:val="0048585A"/>
    <w:rsid w:val="0048750F"/>
    <w:rsid w:val="0049066C"/>
    <w:rsid w:val="004912EF"/>
    <w:rsid w:val="004974D1"/>
    <w:rsid w:val="004A1580"/>
    <w:rsid w:val="004A19DD"/>
    <w:rsid w:val="004B0052"/>
    <w:rsid w:val="004B44B5"/>
    <w:rsid w:val="004C13D9"/>
    <w:rsid w:val="004C156B"/>
    <w:rsid w:val="004C1CE2"/>
    <w:rsid w:val="004C51FC"/>
    <w:rsid w:val="004C5BAD"/>
    <w:rsid w:val="004D5319"/>
    <w:rsid w:val="004D797B"/>
    <w:rsid w:val="004E0982"/>
    <w:rsid w:val="004E1DF7"/>
    <w:rsid w:val="004E2D60"/>
    <w:rsid w:val="004E2E62"/>
    <w:rsid w:val="004E3248"/>
    <w:rsid w:val="004E5392"/>
    <w:rsid w:val="004E73A7"/>
    <w:rsid w:val="004F030E"/>
    <w:rsid w:val="004F2DA8"/>
    <w:rsid w:val="004F4FE5"/>
    <w:rsid w:val="004F6112"/>
    <w:rsid w:val="004F6658"/>
    <w:rsid w:val="004F6BFF"/>
    <w:rsid w:val="004F71AE"/>
    <w:rsid w:val="00501E97"/>
    <w:rsid w:val="005038C9"/>
    <w:rsid w:val="00506E8C"/>
    <w:rsid w:val="00506FCF"/>
    <w:rsid w:val="0051294C"/>
    <w:rsid w:val="00512A8D"/>
    <w:rsid w:val="00521013"/>
    <w:rsid w:val="00526943"/>
    <w:rsid w:val="005314A7"/>
    <w:rsid w:val="00532870"/>
    <w:rsid w:val="005428EE"/>
    <w:rsid w:val="00543724"/>
    <w:rsid w:val="0054645B"/>
    <w:rsid w:val="00552B33"/>
    <w:rsid w:val="00553660"/>
    <w:rsid w:val="00553EB2"/>
    <w:rsid w:val="00556E4F"/>
    <w:rsid w:val="00560776"/>
    <w:rsid w:val="00560AFC"/>
    <w:rsid w:val="00560EAF"/>
    <w:rsid w:val="005619A3"/>
    <w:rsid w:val="00562503"/>
    <w:rsid w:val="0056664B"/>
    <w:rsid w:val="00567693"/>
    <w:rsid w:val="00570911"/>
    <w:rsid w:val="005723D7"/>
    <w:rsid w:val="005755EB"/>
    <w:rsid w:val="005757F7"/>
    <w:rsid w:val="0058037E"/>
    <w:rsid w:val="00581411"/>
    <w:rsid w:val="005817F6"/>
    <w:rsid w:val="00593238"/>
    <w:rsid w:val="00597885"/>
    <w:rsid w:val="005A0674"/>
    <w:rsid w:val="005A3838"/>
    <w:rsid w:val="005A3AA9"/>
    <w:rsid w:val="005A3AE6"/>
    <w:rsid w:val="005A3EAE"/>
    <w:rsid w:val="005A4A49"/>
    <w:rsid w:val="005A71F3"/>
    <w:rsid w:val="005A7726"/>
    <w:rsid w:val="005A77D3"/>
    <w:rsid w:val="005B0AE0"/>
    <w:rsid w:val="005B2146"/>
    <w:rsid w:val="005B2738"/>
    <w:rsid w:val="005B2C2E"/>
    <w:rsid w:val="005B3560"/>
    <w:rsid w:val="005B48B6"/>
    <w:rsid w:val="005B4B41"/>
    <w:rsid w:val="005B529F"/>
    <w:rsid w:val="005B612C"/>
    <w:rsid w:val="005B6B32"/>
    <w:rsid w:val="005B77DD"/>
    <w:rsid w:val="005C09F8"/>
    <w:rsid w:val="005C1A18"/>
    <w:rsid w:val="005C1BD8"/>
    <w:rsid w:val="005C2E63"/>
    <w:rsid w:val="005C5E8E"/>
    <w:rsid w:val="005C65E4"/>
    <w:rsid w:val="005D11F6"/>
    <w:rsid w:val="005D1D0B"/>
    <w:rsid w:val="005D72E3"/>
    <w:rsid w:val="005E0E7F"/>
    <w:rsid w:val="005E5A79"/>
    <w:rsid w:val="005F1482"/>
    <w:rsid w:val="005F1E3B"/>
    <w:rsid w:val="0060449D"/>
    <w:rsid w:val="00610F23"/>
    <w:rsid w:val="00613019"/>
    <w:rsid w:val="00621622"/>
    <w:rsid w:val="006226C5"/>
    <w:rsid w:val="00622FB6"/>
    <w:rsid w:val="0062351F"/>
    <w:rsid w:val="00625CE4"/>
    <w:rsid w:val="00631623"/>
    <w:rsid w:val="006316FF"/>
    <w:rsid w:val="00633F34"/>
    <w:rsid w:val="006346F2"/>
    <w:rsid w:val="00642FA5"/>
    <w:rsid w:val="00643E54"/>
    <w:rsid w:val="006520DA"/>
    <w:rsid w:val="00652414"/>
    <w:rsid w:val="0066087C"/>
    <w:rsid w:val="00665D96"/>
    <w:rsid w:val="00672C67"/>
    <w:rsid w:val="006733B9"/>
    <w:rsid w:val="006777F4"/>
    <w:rsid w:val="00680C37"/>
    <w:rsid w:val="0068235A"/>
    <w:rsid w:val="00691F14"/>
    <w:rsid w:val="00693D54"/>
    <w:rsid w:val="00695B4B"/>
    <w:rsid w:val="006A242C"/>
    <w:rsid w:val="006A3E01"/>
    <w:rsid w:val="006A4842"/>
    <w:rsid w:val="006A5F11"/>
    <w:rsid w:val="006B46FE"/>
    <w:rsid w:val="006B5B10"/>
    <w:rsid w:val="006C0BED"/>
    <w:rsid w:val="006C1512"/>
    <w:rsid w:val="006C5E14"/>
    <w:rsid w:val="006E199D"/>
    <w:rsid w:val="006E2154"/>
    <w:rsid w:val="006E526F"/>
    <w:rsid w:val="006F2F60"/>
    <w:rsid w:val="006F4261"/>
    <w:rsid w:val="006F5BB5"/>
    <w:rsid w:val="006F63F7"/>
    <w:rsid w:val="006F7720"/>
    <w:rsid w:val="00700D51"/>
    <w:rsid w:val="00701E4E"/>
    <w:rsid w:val="00703AAD"/>
    <w:rsid w:val="00704126"/>
    <w:rsid w:val="00704DC6"/>
    <w:rsid w:val="00706525"/>
    <w:rsid w:val="00707621"/>
    <w:rsid w:val="007171E1"/>
    <w:rsid w:val="00717422"/>
    <w:rsid w:val="00722137"/>
    <w:rsid w:val="00723710"/>
    <w:rsid w:val="00733427"/>
    <w:rsid w:val="00735573"/>
    <w:rsid w:val="00737F68"/>
    <w:rsid w:val="007424E1"/>
    <w:rsid w:val="00742D87"/>
    <w:rsid w:val="00751DC9"/>
    <w:rsid w:val="0075565C"/>
    <w:rsid w:val="007605DC"/>
    <w:rsid w:val="00761F62"/>
    <w:rsid w:val="00762C18"/>
    <w:rsid w:val="00766FB7"/>
    <w:rsid w:val="00772348"/>
    <w:rsid w:val="00772510"/>
    <w:rsid w:val="00773A1D"/>
    <w:rsid w:val="00773F42"/>
    <w:rsid w:val="00774264"/>
    <w:rsid w:val="00775445"/>
    <w:rsid w:val="00780EE2"/>
    <w:rsid w:val="007840FE"/>
    <w:rsid w:val="00784F8B"/>
    <w:rsid w:val="007871EE"/>
    <w:rsid w:val="00793E08"/>
    <w:rsid w:val="00794A76"/>
    <w:rsid w:val="00795D56"/>
    <w:rsid w:val="007962F0"/>
    <w:rsid w:val="00797D92"/>
    <w:rsid w:val="007A0919"/>
    <w:rsid w:val="007A097F"/>
    <w:rsid w:val="007A4200"/>
    <w:rsid w:val="007B3DD4"/>
    <w:rsid w:val="007B5103"/>
    <w:rsid w:val="007B61B8"/>
    <w:rsid w:val="007B6A00"/>
    <w:rsid w:val="007C0D3D"/>
    <w:rsid w:val="007C31AE"/>
    <w:rsid w:val="007C36CD"/>
    <w:rsid w:val="007C3C87"/>
    <w:rsid w:val="007C3D16"/>
    <w:rsid w:val="007C47E4"/>
    <w:rsid w:val="007C4FF4"/>
    <w:rsid w:val="007D2436"/>
    <w:rsid w:val="007D2B3D"/>
    <w:rsid w:val="007D444F"/>
    <w:rsid w:val="007D4E58"/>
    <w:rsid w:val="007D56C8"/>
    <w:rsid w:val="007D7F00"/>
    <w:rsid w:val="007E1CCC"/>
    <w:rsid w:val="007E459A"/>
    <w:rsid w:val="007E4929"/>
    <w:rsid w:val="007E720E"/>
    <w:rsid w:val="007E72F0"/>
    <w:rsid w:val="007F009F"/>
    <w:rsid w:val="007F0BF3"/>
    <w:rsid w:val="007F0D47"/>
    <w:rsid w:val="007F2B03"/>
    <w:rsid w:val="007F33BC"/>
    <w:rsid w:val="007F6C9D"/>
    <w:rsid w:val="00800BE6"/>
    <w:rsid w:val="0080256D"/>
    <w:rsid w:val="00802E22"/>
    <w:rsid w:val="00812702"/>
    <w:rsid w:val="0081659F"/>
    <w:rsid w:val="008165F1"/>
    <w:rsid w:val="008235B6"/>
    <w:rsid w:val="008329A5"/>
    <w:rsid w:val="00832C53"/>
    <w:rsid w:val="008353A0"/>
    <w:rsid w:val="00846B19"/>
    <w:rsid w:val="008509A5"/>
    <w:rsid w:val="008521F8"/>
    <w:rsid w:val="00852E79"/>
    <w:rsid w:val="008550E4"/>
    <w:rsid w:val="00855CA7"/>
    <w:rsid w:val="00855F3C"/>
    <w:rsid w:val="00857998"/>
    <w:rsid w:val="00862373"/>
    <w:rsid w:val="008702C7"/>
    <w:rsid w:val="008814B7"/>
    <w:rsid w:val="00882EDF"/>
    <w:rsid w:val="008855D8"/>
    <w:rsid w:val="00885B43"/>
    <w:rsid w:val="00885EDD"/>
    <w:rsid w:val="00891909"/>
    <w:rsid w:val="0089196E"/>
    <w:rsid w:val="00894546"/>
    <w:rsid w:val="008956AE"/>
    <w:rsid w:val="008962B9"/>
    <w:rsid w:val="008B27AB"/>
    <w:rsid w:val="008B474A"/>
    <w:rsid w:val="008B4752"/>
    <w:rsid w:val="008C0F7F"/>
    <w:rsid w:val="008C19A0"/>
    <w:rsid w:val="008C5F52"/>
    <w:rsid w:val="008D1294"/>
    <w:rsid w:val="008D4748"/>
    <w:rsid w:val="008D493B"/>
    <w:rsid w:val="008E15CC"/>
    <w:rsid w:val="008E5F67"/>
    <w:rsid w:val="008E7EF2"/>
    <w:rsid w:val="008F0D75"/>
    <w:rsid w:val="00912649"/>
    <w:rsid w:val="009141CE"/>
    <w:rsid w:val="00914978"/>
    <w:rsid w:val="0092032F"/>
    <w:rsid w:val="00921CBB"/>
    <w:rsid w:val="009220F6"/>
    <w:rsid w:val="00923540"/>
    <w:rsid w:val="009238C5"/>
    <w:rsid w:val="00926CE3"/>
    <w:rsid w:val="00927493"/>
    <w:rsid w:val="00930153"/>
    <w:rsid w:val="00936842"/>
    <w:rsid w:val="00944770"/>
    <w:rsid w:val="00950C79"/>
    <w:rsid w:val="00952E84"/>
    <w:rsid w:val="00952F21"/>
    <w:rsid w:val="00954DE5"/>
    <w:rsid w:val="00956D46"/>
    <w:rsid w:val="00957FE6"/>
    <w:rsid w:val="00961F56"/>
    <w:rsid w:val="00973D9E"/>
    <w:rsid w:val="00973DF8"/>
    <w:rsid w:val="00975B93"/>
    <w:rsid w:val="009803F9"/>
    <w:rsid w:val="00981623"/>
    <w:rsid w:val="0098375F"/>
    <w:rsid w:val="0098511D"/>
    <w:rsid w:val="00985485"/>
    <w:rsid w:val="00986075"/>
    <w:rsid w:val="00991298"/>
    <w:rsid w:val="00991A54"/>
    <w:rsid w:val="009932BD"/>
    <w:rsid w:val="009934FA"/>
    <w:rsid w:val="00994166"/>
    <w:rsid w:val="009A14E2"/>
    <w:rsid w:val="009B00C3"/>
    <w:rsid w:val="009B0CBC"/>
    <w:rsid w:val="009C0139"/>
    <w:rsid w:val="009C0E57"/>
    <w:rsid w:val="009C2F7D"/>
    <w:rsid w:val="009C55FF"/>
    <w:rsid w:val="009D6A3C"/>
    <w:rsid w:val="009D6EB2"/>
    <w:rsid w:val="009E3332"/>
    <w:rsid w:val="009E41C3"/>
    <w:rsid w:val="009E761C"/>
    <w:rsid w:val="009F0156"/>
    <w:rsid w:val="009F0F45"/>
    <w:rsid w:val="009F1E08"/>
    <w:rsid w:val="009F33A3"/>
    <w:rsid w:val="009F5379"/>
    <w:rsid w:val="009F698B"/>
    <w:rsid w:val="00A0033D"/>
    <w:rsid w:val="00A03EC8"/>
    <w:rsid w:val="00A0604C"/>
    <w:rsid w:val="00A11B0D"/>
    <w:rsid w:val="00A120BD"/>
    <w:rsid w:val="00A176AA"/>
    <w:rsid w:val="00A205D5"/>
    <w:rsid w:val="00A239B4"/>
    <w:rsid w:val="00A23D5F"/>
    <w:rsid w:val="00A25AFF"/>
    <w:rsid w:val="00A32DC9"/>
    <w:rsid w:val="00A33349"/>
    <w:rsid w:val="00A33FE6"/>
    <w:rsid w:val="00A44D43"/>
    <w:rsid w:val="00A452D2"/>
    <w:rsid w:val="00A470EC"/>
    <w:rsid w:val="00A50C4A"/>
    <w:rsid w:val="00A50F78"/>
    <w:rsid w:val="00A51224"/>
    <w:rsid w:val="00A5755C"/>
    <w:rsid w:val="00A63E56"/>
    <w:rsid w:val="00A66FD8"/>
    <w:rsid w:val="00A670EA"/>
    <w:rsid w:val="00A7100E"/>
    <w:rsid w:val="00A71A98"/>
    <w:rsid w:val="00A7291A"/>
    <w:rsid w:val="00A7417E"/>
    <w:rsid w:val="00A819B1"/>
    <w:rsid w:val="00A9009D"/>
    <w:rsid w:val="00A9242A"/>
    <w:rsid w:val="00A92BC1"/>
    <w:rsid w:val="00AA28F0"/>
    <w:rsid w:val="00AA2C54"/>
    <w:rsid w:val="00AA3EF4"/>
    <w:rsid w:val="00AA65DC"/>
    <w:rsid w:val="00AA7CBC"/>
    <w:rsid w:val="00AB36D0"/>
    <w:rsid w:val="00AB4CA0"/>
    <w:rsid w:val="00AB59CA"/>
    <w:rsid w:val="00AB60CB"/>
    <w:rsid w:val="00AC0C78"/>
    <w:rsid w:val="00AC175C"/>
    <w:rsid w:val="00AC4BC5"/>
    <w:rsid w:val="00AC6896"/>
    <w:rsid w:val="00AD4ACE"/>
    <w:rsid w:val="00AD4BAD"/>
    <w:rsid w:val="00AD5676"/>
    <w:rsid w:val="00AD5886"/>
    <w:rsid w:val="00AD6E3F"/>
    <w:rsid w:val="00AE08D5"/>
    <w:rsid w:val="00AE3466"/>
    <w:rsid w:val="00AF1471"/>
    <w:rsid w:val="00AF36BF"/>
    <w:rsid w:val="00AF53EC"/>
    <w:rsid w:val="00AF647B"/>
    <w:rsid w:val="00B010E5"/>
    <w:rsid w:val="00B048AA"/>
    <w:rsid w:val="00B13870"/>
    <w:rsid w:val="00B1500D"/>
    <w:rsid w:val="00B1629F"/>
    <w:rsid w:val="00B1672F"/>
    <w:rsid w:val="00B30486"/>
    <w:rsid w:val="00B3494F"/>
    <w:rsid w:val="00B427DC"/>
    <w:rsid w:val="00B44119"/>
    <w:rsid w:val="00B4671F"/>
    <w:rsid w:val="00B50F62"/>
    <w:rsid w:val="00B55AA4"/>
    <w:rsid w:val="00B60779"/>
    <w:rsid w:val="00B61496"/>
    <w:rsid w:val="00B63E05"/>
    <w:rsid w:val="00B66717"/>
    <w:rsid w:val="00B67AA7"/>
    <w:rsid w:val="00B72669"/>
    <w:rsid w:val="00B76DF4"/>
    <w:rsid w:val="00B76EEF"/>
    <w:rsid w:val="00B776C1"/>
    <w:rsid w:val="00B867D1"/>
    <w:rsid w:val="00B92977"/>
    <w:rsid w:val="00B92987"/>
    <w:rsid w:val="00B9437F"/>
    <w:rsid w:val="00B96073"/>
    <w:rsid w:val="00B962B5"/>
    <w:rsid w:val="00B968F0"/>
    <w:rsid w:val="00B96DB3"/>
    <w:rsid w:val="00BA2D4B"/>
    <w:rsid w:val="00BA3FBD"/>
    <w:rsid w:val="00BA7F8D"/>
    <w:rsid w:val="00BB48CE"/>
    <w:rsid w:val="00BB4CED"/>
    <w:rsid w:val="00BB57BA"/>
    <w:rsid w:val="00BB67B3"/>
    <w:rsid w:val="00BC3CDC"/>
    <w:rsid w:val="00BC4382"/>
    <w:rsid w:val="00BC5D5E"/>
    <w:rsid w:val="00BC6D9B"/>
    <w:rsid w:val="00BC7D69"/>
    <w:rsid w:val="00BC7FC3"/>
    <w:rsid w:val="00BD5B4F"/>
    <w:rsid w:val="00BD7B20"/>
    <w:rsid w:val="00BE0E9A"/>
    <w:rsid w:val="00BE4D46"/>
    <w:rsid w:val="00BE4D54"/>
    <w:rsid w:val="00BE72CC"/>
    <w:rsid w:val="00BF0580"/>
    <w:rsid w:val="00BF185A"/>
    <w:rsid w:val="00BF2DD0"/>
    <w:rsid w:val="00C01970"/>
    <w:rsid w:val="00C032A0"/>
    <w:rsid w:val="00C05C98"/>
    <w:rsid w:val="00C06939"/>
    <w:rsid w:val="00C0782F"/>
    <w:rsid w:val="00C20DBD"/>
    <w:rsid w:val="00C246E2"/>
    <w:rsid w:val="00C24BCF"/>
    <w:rsid w:val="00C27505"/>
    <w:rsid w:val="00C30F82"/>
    <w:rsid w:val="00C35EEA"/>
    <w:rsid w:val="00C40F18"/>
    <w:rsid w:val="00C41F0D"/>
    <w:rsid w:val="00C42F38"/>
    <w:rsid w:val="00C5033A"/>
    <w:rsid w:val="00C50B8F"/>
    <w:rsid w:val="00C525DF"/>
    <w:rsid w:val="00C52DB2"/>
    <w:rsid w:val="00C546DD"/>
    <w:rsid w:val="00C54918"/>
    <w:rsid w:val="00C553C3"/>
    <w:rsid w:val="00C64A12"/>
    <w:rsid w:val="00C650DE"/>
    <w:rsid w:val="00C66303"/>
    <w:rsid w:val="00C66BB9"/>
    <w:rsid w:val="00C7017C"/>
    <w:rsid w:val="00C73986"/>
    <w:rsid w:val="00C7746B"/>
    <w:rsid w:val="00C77C77"/>
    <w:rsid w:val="00C8105F"/>
    <w:rsid w:val="00C81379"/>
    <w:rsid w:val="00C816B2"/>
    <w:rsid w:val="00C81970"/>
    <w:rsid w:val="00C87101"/>
    <w:rsid w:val="00C94D24"/>
    <w:rsid w:val="00C967CD"/>
    <w:rsid w:val="00CA0B2C"/>
    <w:rsid w:val="00CA1024"/>
    <w:rsid w:val="00CA290E"/>
    <w:rsid w:val="00CA3A89"/>
    <w:rsid w:val="00CA4EA9"/>
    <w:rsid w:val="00CB2ED2"/>
    <w:rsid w:val="00CB5DCB"/>
    <w:rsid w:val="00CC0015"/>
    <w:rsid w:val="00CC263F"/>
    <w:rsid w:val="00CD2C52"/>
    <w:rsid w:val="00CD602C"/>
    <w:rsid w:val="00CD62C1"/>
    <w:rsid w:val="00CD7481"/>
    <w:rsid w:val="00CE2A66"/>
    <w:rsid w:val="00CE375B"/>
    <w:rsid w:val="00CE7232"/>
    <w:rsid w:val="00CE79D7"/>
    <w:rsid w:val="00CF1C01"/>
    <w:rsid w:val="00CF390A"/>
    <w:rsid w:val="00D023CF"/>
    <w:rsid w:val="00D043F3"/>
    <w:rsid w:val="00D11F90"/>
    <w:rsid w:val="00D126D3"/>
    <w:rsid w:val="00D12DF6"/>
    <w:rsid w:val="00D21546"/>
    <w:rsid w:val="00D22A0E"/>
    <w:rsid w:val="00D241C5"/>
    <w:rsid w:val="00D24F9A"/>
    <w:rsid w:val="00D25230"/>
    <w:rsid w:val="00D345C2"/>
    <w:rsid w:val="00D35886"/>
    <w:rsid w:val="00D37A72"/>
    <w:rsid w:val="00D41BFE"/>
    <w:rsid w:val="00D42B90"/>
    <w:rsid w:val="00D520F5"/>
    <w:rsid w:val="00D5213E"/>
    <w:rsid w:val="00D52723"/>
    <w:rsid w:val="00D530E5"/>
    <w:rsid w:val="00D54714"/>
    <w:rsid w:val="00D604F2"/>
    <w:rsid w:val="00D658CF"/>
    <w:rsid w:val="00D74542"/>
    <w:rsid w:val="00D74D35"/>
    <w:rsid w:val="00D77B41"/>
    <w:rsid w:val="00D80278"/>
    <w:rsid w:val="00D81180"/>
    <w:rsid w:val="00D9349A"/>
    <w:rsid w:val="00DA0D5E"/>
    <w:rsid w:val="00DA16AA"/>
    <w:rsid w:val="00DA30BF"/>
    <w:rsid w:val="00DA3FE8"/>
    <w:rsid w:val="00DA50C9"/>
    <w:rsid w:val="00DB1CEE"/>
    <w:rsid w:val="00DB3E9E"/>
    <w:rsid w:val="00DB591E"/>
    <w:rsid w:val="00DC30C9"/>
    <w:rsid w:val="00DD0D6E"/>
    <w:rsid w:val="00DD18CE"/>
    <w:rsid w:val="00DD1A16"/>
    <w:rsid w:val="00DD42EC"/>
    <w:rsid w:val="00DE0681"/>
    <w:rsid w:val="00DE5FDB"/>
    <w:rsid w:val="00DF0128"/>
    <w:rsid w:val="00DF2564"/>
    <w:rsid w:val="00DF2DC2"/>
    <w:rsid w:val="00DF5F9F"/>
    <w:rsid w:val="00E012CA"/>
    <w:rsid w:val="00E04A97"/>
    <w:rsid w:val="00E05A01"/>
    <w:rsid w:val="00E20678"/>
    <w:rsid w:val="00E23D9D"/>
    <w:rsid w:val="00E30145"/>
    <w:rsid w:val="00E32CDA"/>
    <w:rsid w:val="00E42B8D"/>
    <w:rsid w:val="00E42DFA"/>
    <w:rsid w:val="00E45770"/>
    <w:rsid w:val="00E520D2"/>
    <w:rsid w:val="00E52F69"/>
    <w:rsid w:val="00E55C18"/>
    <w:rsid w:val="00E6288B"/>
    <w:rsid w:val="00E638E7"/>
    <w:rsid w:val="00E65313"/>
    <w:rsid w:val="00E702FB"/>
    <w:rsid w:val="00E71137"/>
    <w:rsid w:val="00E72EC0"/>
    <w:rsid w:val="00E750D4"/>
    <w:rsid w:val="00E767B8"/>
    <w:rsid w:val="00E808C9"/>
    <w:rsid w:val="00E8326A"/>
    <w:rsid w:val="00E91974"/>
    <w:rsid w:val="00E9307D"/>
    <w:rsid w:val="00E96C5B"/>
    <w:rsid w:val="00EA10FE"/>
    <w:rsid w:val="00EA17F8"/>
    <w:rsid w:val="00EA5CFD"/>
    <w:rsid w:val="00EB0631"/>
    <w:rsid w:val="00EB09CB"/>
    <w:rsid w:val="00EB3C5A"/>
    <w:rsid w:val="00EB3D74"/>
    <w:rsid w:val="00EC0B6B"/>
    <w:rsid w:val="00EC1538"/>
    <w:rsid w:val="00EC3057"/>
    <w:rsid w:val="00ED0F91"/>
    <w:rsid w:val="00ED2DB3"/>
    <w:rsid w:val="00ED3D82"/>
    <w:rsid w:val="00ED4051"/>
    <w:rsid w:val="00ED4F45"/>
    <w:rsid w:val="00ED746E"/>
    <w:rsid w:val="00EE1598"/>
    <w:rsid w:val="00EE262B"/>
    <w:rsid w:val="00EE31D1"/>
    <w:rsid w:val="00EE664B"/>
    <w:rsid w:val="00EE68D1"/>
    <w:rsid w:val="00EE714E"/>
    <w:rsid w:val="00EF32F9"/>
    <w:rsid w:val="00EF57A8"/>
    <w:rsid w:val="00EF5B65"/>
    <w:rsid w:val="00EF6352"/>
    <w:rsid w:val="00EF79CB"/>
    <w:rsid w:val="00EF7E0B"/>
    <w:rsid w:val="00F007E2"/>
    <w:rsid w:val="00F00D24"/>
    <w:rsid w:val="00F02180"/>
    <w:rsid w:val="00F026BD"/>
    <w:rsid w:val="00F06630"/>
    <w:rsid w:val="00F156D9"/>
    <w:rsid w:val="00F1602D"/>
    <w:rsid w:val="00F22B29"/>
    <w:rsid w:val="00F235BF"/>
    <w:rsid w:val="00F2564B"/>
    <w:rsid w:val="00F2628D"/>
    <w:rsid w:val="00F27DBF"/>
    <w:rsid w:val="00F300F5"/>
    <w:rsid w:val="00F311F9"/>
    <w:rsid w:val="00F355E6"/>
    <w:rsid w:val="00F35FE4"/>
    <w:rsid w:val="00F401E7"/>
    <w:rsid w:val="00F407B4"/>
    <w:rsid w:val="00F43CA4"/>
    <w:rsid w:val="00F607FD"/>
    <w:rsid w:val="00F63729"/>
    <w:rsid w:val="00F65C5A"/>
    <w:rsid w:val="00F709BD"/>
    <w:rsid w:val="00F70A8D"/>
    <w:rsid w:val="00F70DD5"/>
    <w:rsid w:val="00F70E49"/>
    <w:rsid w:val="00F71AA1"/>
    <w:rsid w:val="00F71F1F"/>
    <w:rsid w:val="00F752F3"/>
    <w:rsid w:val="00F80559"/>
    <w:rsid w:val="00F81F29"/>
    <w:rsid w:val="00F82F1C"/>
    <w:rsid w:val="00F83396"/>
    <w:rsid w:val="00F83FF1"/>
    <w:rsid w:val="00F849FD"/>
    <w:rsid w:val="00F90219"/>
    <w:rsid w:val="00F91559"/>
    <w:rsid w:val="00F94A92"/>
    <w:rsid w:val="00F96038"/>
    <w:rsid w:val="00F97984"/>
    <w:rsid w:val="00FA06B5"/>
    <w:rsid w:val="00FA2A9E"/>
    <w:rsid w:val="00FA2BBA"/>
    <w:rsid w:val="00FA3B5D"/>
    <w:rsid w:val="00FB0967"/>
    <w:rsid w:val="00FB2B52"/>
    <w:rsid w:val="00FB3455"/>
    <w:rsid w:val="00FB5138"/>
    <w:rsid w:val="00FC00A0"/>
    <w:rsid w:val="00FC031C"/>
    <w:rsid w:val="00FD112F"/>
    <w:rsid w:val="00FD1419"/>
    <w:rsid w:val="00FD6A76"/>
    <w:rsid w:val="00FE0388"/>
    <w:rsid w:val="00FE1D1B"/>
    <w:rsid w:val="00FE20DB"/>
    <w:rsid w:val="00FF07F9"/>
    <w:rsid w:val="00FF4C67"/>
    <w:rsid w:val="022A731E"/>
    <w:rsid w:val="02A64119"/>
    <w:rsid w:val="043D6C25"/>
    <w:rsid w:val="048667D3"/>
    <w:rsid w:val="049E006D"/>
    <w:rsid w:val="054C634F"/>
    <w:rsid w:val="07BD0E51"/>
    <w:rsid w:val="08DB7764"/>
    <w:rsid w:val="0C9A6ED5"/>
    <w:rsid w:val="100603AC"/>
    <w:rsid w:val="10F1631B"/>
    <w:rsid w:val="12A93FD5"/>
    <w:rsid w:val="130C2FEE"/>
    <w:rsid w:val="13CE1647"/>
    <w:rsid w:val="17B84A32"/>
    <w:rsid w:val="19B01875"/>
    <w:rsid w:val="1A1C1CFA"/>
    <w:rsid w:val="1AD4001C"/>
    <w:rsid w:val="1C3E1334"/>
    <w:rsid w:val="1CFD4AD4"/>
    <w:rsid w:val="1D070020"/>
    <w:rsid w:val="1EB274DF"/>
    <w:rsid w:val="20106F8E"/>
    <w:rsid w:val="22B36787"/>
    <w:rsid w:val="231125AC"/>
    <w:rsid w:val="24077BFF"/>
    <w:rsid w:val="26A5092E"/>
    <w:rsid w:val="28260401"/>
    <w:rsid w:val="2B110340"/>
    <w:rsid w:val="2CF51D47"/>
    <w:rsid w:val="2F640DE8"/>
    <w:rsid w:val="31190CC6"/>
    <w:rsid w:val="33FD7752"/>
    <w:rsid w:val="37922635"/>
    <w:rsid w:val="379540A7"/>
    <w:rsid w:val="3989156E"/>
    <w:rsid w:val="3A15477F"/>
    <w:rsid w:val="3A242466"/>
    <w:rsid w:val="3C47334E"/>
    <w:rsid w:val="3CB26D1E"/>
    <w:rsid w:val="3EF07F7A"/>
    <w:rsid w:val="43ED3C40"/>
    <w:rsid w:val="495323ED"/>
    <w:rsid w:val="4AF3601A"/>
    <w:rsid w:val="4BA315C9"/>
    <w:rsid w:val="4CC6446A"/>
    <w:rsid w:val="4E7B4170"/>
    <w:rsid w:val="544D740E"/>
    <w:rsid w:val="55AE0FCF"/>
    <w:rsid w:val="58FE18D5"/>
    <w:rsid w:val="594914BB"/>
    <w:rsid w:val="5CA82CD1"/>
    <w:rsid w:val="5FCE09A6"/>
    <w:rsid w:val="60ED5F11"/>
    <w:rsid w:val="64122457"/>
    <w:rsid w:val="646426D5"/>
    <w:rsid w:val="64BC4F31"/>
    <w:rsid w:val="64C3416F"/>
    <w:rsid w:val="6624577F"/>
    <w:rsid w:val="67161F83"/>
    <w:rsid w:val="68817BAC"/>
    <w:rsid w:val="68DB6F84"/>
    <w:rsid w:val="6A1706CF"/>
    <w:rsid w:val="6A563FBC"/>
    <w:rsid w:val="6A7E3167"/>
    <w:rsid w:val="6D873407"/>
    <w:rsid w:val="6DA24319"/>
    <w:rsid w:val="6EA81B75"/>
    <w:rsid w:val="6FE35A27"/>
    <w:rsid w:val="72167982"/>
    <w:rsid w:val="739B783A"/>
    <w:rsid w:val="75536D10"/>
    <w:rsid w:val="75B30C82"/>
    <w:rsid w:val="76B57CE1"/>
    <w:rsid w:val="770E7892"/>
    <w:rsid w:val="77980A6E"/>
    <w:rsid w:val="77F71564"/>
    <w:rsid w:val="792A54A4"/>
    <w:rsid w:val="79F159A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semiHidden/>
    <w:qFormat/>
    <w:uiPriority w:val="0"/>
    <w:rPr>
      <w:sz w:val="18"/>
      <w:szCs w:val="18"/>
    </w:rPr>
  </w:style>
  <w:style w:type="paragraph" w:styleId="3">
    <w:name w:val="footer"/>
    <w:basedOn w:val="1"/>
    <w:link w:val="12"/>
    <w:qFormat/>
    <w:uiPriority w:val="0"/>
    <w:pPr>
      <w:tabs>
        <w:tab w:val="center" w:pos="4153"/>
        <w:tab w:val="right" w:pos="8306"/>
      </w:tabs>
      <w:snapToGrid w:val="0"/>
      <w:jc w:val="left"/>
    </w:pPr>
    <w:rPr>
      <w:sz w:val="18"/>
      <w:szCs w:val="18"/>
    </w:rPr>
  </w:style>
  <w:style w:type="paragraph" w:styleId="4">
    <w:name w:val="header"/>
    <w:basedOn w:val="1"/>
    <w:link w:val="11"/>
    <w:qFormat/>
    <w:uiPriority w:val="0"/>
    <w:pPr>
      <w:pBdr>
        <w:bottom w:val="single" w:color="auto" w:sz="6" w:space="1"/>
      </w:pBdr>
      <w:tabs>
        <w:tab w:val="center" w:pos="4153"/>
        <w:tab w:val="right" w:pos="8306"/>
      </w:tabs>
      <w:snapToGrid w:val="0"/>
      <w:jc w:val="center"/>
    </w:pPr>
    <w:rPr>
      <w:sz w:val="18"/>
      <w:szCs w:val="18"/>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8">
    <w:name w:val="page number"/>
    <w:basedOn w:val="7"/>
    <w:qFormat/>
    <w:uiPriority w:val="0"/>
  </w:style>
  <w:style w:type="character" w:styleId="9">
    <w:name w:val="Hyperlink"/>
    <w:qFormat/>
    <w:uiPriority w:val="0"/>
    <w:rPr>
      <w:color w:val="0000FF"/>
      <w:u w:val="single"/>
    </w:rPr>
  </w:style>
  <w:style w:type="character" w:customStyle="1" w:styleId="10">
    <w:name w:val="已访问的超链接1"/>
    <w:qFormat/>
    <w:uiPriority w:val="0"/>
    <w:rPr>
      <w:color w:val="800080"/>
      <w:u w:val="single"/>
    </w:rPr>
  </w:style>
  <w:style w:type="character" w:customStyle="1" w:styleId="11">
    <w:name w:val="页眉 Char"/>
    <w:link w:val="4"/>
    <w:qFormat/>
    <w:uiPriority w:val="0"/>
    <w:rPr>
      <w:kern w:val="2"/>
      <w:sz w:val="18"/>
      <w:szCs w:val="18"/>
    </w:rPr>
  </w:style>
  <w:style w:type="character" w:customStyle="1" w:styleId="12">
    <w:name w:val="页脚 Char"/>
    <w:link w:val="3"/>
    <w:qFormat/>
    <w:uiPriority w:val="0"/>
    <w:rPr>
      <w:kern w:val="2"/>
      <w:sz w:val="18"/>
      <w:szCs w:val="18"/>
    </w:rPr>
  </w:style>
  <w:style w:type="paragraph" w:customStyle="1" w:styleId="13">
    <w:name w:val="目录 21"/>
    <w:basedOn w:val="1"/>
    <w:next w:val="1"/>
    <w:qFormat/>
    <w:uiPriority w:val="39"/>
    <w:pPr>
      <w:tabs>
        <w:tab w:val="right" w:leader="dot" w:pos="8494"/>
      </w:tabs>
      <w:spacing w:line="560" w:lineRule="exact"/>
      <w:ind w:left="210"/>
      <w:jc w:val="left"/>
    </w:pPr>
    <w:rPr>
      <w:rFonts w:ascii="仿宋_GB2312" w:hAnsi="Calibri" w:eastAsia="仿宋_GB2312" w:cs="Calibri"/>
      <w:smallCaps/>
      <w:sz w:val="28"/>
      <w:szCs w:val="28"/>
    </w:rPr>
  </w:style>
  <w:style w:type="paragraph" w:customStyle="1" w:styleId="14">
    <w:name w:val="目录 11"/>
    <w:basedOn w:val="1"/>
    <w:next w:val="1"/>
    <w:qFormat/>
    <w:uiPriority w:val="39"/>
    <w:pPr>
      <w:tabs>
        <w:tab w:val="left" w:pos="840"/>
        <w:tab w:val="right" w:leader="dot" w:pos="8296"/>
      </w:tabs>
      <w:spacing w:line="560" w:lineRule="exact"/>
      <w:jc w:val="left"/>
    </w:pPr>
    <w:rPr>
      <w:rFonts w:ascii="仿宋_GB2312" w:hAnsi="新宋体" w:eastAsia="仿宋_GB2312" w:cs="Calibri"/>
      <w:b/>
      <w:bCs/>
      <w:caps/>
      <w:sz w:val="28"/>
      <w:szCs w:val="28"/>
    </w:rPr>
  </w:style>
  <w:style w:type="paragraph" w:customStyle="1" w:styleId="15">
    <w:name w:val="Char Char Char Char Char Char Char"/>
    <w:basedOn w:val="1"/>
    <w:qFormat/>
    <w:uiPriority w:val="0"/>
    <w:rPr>
      <w:szCs w:val="21"/>
    </w:rPr>
  </w:style>
  <w:style w:type="paragraph" w:customStyle="1" w:styleId="16">
    <w:name w:val="列出段落1"/>
    <w:basedOn w:val="1"/>
    <w:qFormat/>
    <w:uiPriority w:val="34"/>
    <w:pPr>
      <w:ind w:firstLine="420" w:firstLineChars="200"/>
    </w:pPr>
    <w:rPr>
      <w:rFonts w:ascii="Calibri" w:hAnsi="Calibri"/>
      <w:szCs w:val="22"/>
    </w:rPr>
  </w:style>
</w:styles>
</file>

<file path=word/_rels/document.xml.rels><?xml version="1.0" encoding="UTF-8" standalone="yes"?>
<Relationships xmlns="http://schemas.openxmlformats.org/package/2006/relationships">
<Relationship Id="rId1" Target="styles.xml" Type="http://schemas.openxmlformats.org/officeDocument/2006/relationships/styles"/>
<Relationship Id="rId10" Target="numbering.xml" Type="http://schemas.openxmlformats.org/officeDocument/2006/relationships/numbering"/>
<Relationship Id="rId11" Target="fontTable.xml" Type="http://schemas.openxmlformats.org/officeDocument/2006/relationships/fontTable"/>
<Relationship Id="rId2" Target="settings.xml" Type="http://schemas.openxmlformats.org/officeDocument/2006/relationships/settings"/>
<Relationship Id="rId3" Target="header1.xml" Type="http://schemas.openxmlformats.org/officeDocument/2006/relationships/header"/>
<Relationship Id="rId4" Target="header2.xml" Type="http://schemas.openxmlformats.org/officeDocument/2006/relationships/header"/>
<Relationship Id="rId5" Target="footer1.xml" Type="http://schemas.openxmlformats.org/officeDocument/2006/relationships/footer"/>
<Relationship Id="rId6" Target="footer2.xml" Type="http://schemas.openxmlformats.org/officeDocument/2006/relationships/footer"/>
<Relationship Id="rId7" Target="header3.xml" Type="http://schemas.openxmlformats.org/officeDocument/2006/relationships/header"/>
<Relationship Id="rId8" Target="footer3.xml" Type="http://schemas.openxmlformats.org/officeDocument/2006/relationships/footer"/>
<Relationship Id="rId9" Target="theme/theme1.xml" Type="http://schemas.openxmlformats.org/officeDocument/2006/relationships/them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czj</Company>
  <Pages>3</Pages>
  <Words>270</Words>
  <Characters>780</Characters>
  <Lines>6</Lines>
  <Paragraphs>1</Paragraphs>
  <TotalTime>5</TotalTime>
  <ScaleCrop>false</ScaleCrop>
  <LinksUpToDate>false</LinksUpToDate>
  <CharactersWithSpaces>780</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2020-12-31T06:58:00Z</dcterms:created>
  <dc:creator>傅海英</dc:creator>
  <cp:lastModifiedBy>木木三</cp:lastModifiedBy>
  <cp:lastPrinted>2019-06-21T02:10:00Z</cp:lastPrinted>
  <dcterms:modified xsi:type="dcterms:W3CDTF">2026-02-27T08:35:46Z</dcterms:modified>
  <cp:revision>7</cp:revision>
  <dc:title>关于进行本市部门整体支出</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739EEDB2ECE141DEAF0C3D87D58590AD_13</vt:lpwstr>
  </property>
  <property fmtid="{D5CDD505-2E9C-101B-9397-08002B2CF9AE}" pid="4" name="KSOTemplateDocerSaveRecord">
    <vt:lpwstr>eyJoZGlkIjoiMmVmMTQ4NTZkNTIwMmU5ZDBhYTZhYjI1NWVjNGI1Y2IiLCJ1c2VySWQiOiIyMjg1MzQ1OTUifQ==</vt:lpwstr>
  </property>
</Properties>
</file>