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p>
    <w:p/>
    <w:p/>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tblPrEx>
          <w:tblLayout w:type="fixed"/>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pPr>
              <w:jc w:val="center"/>
              <w:rPr>
                <w:rFonts w:cs="Arial"/>
                <w:b/>
                <w:bCs/>
                <w:color w:val="000000"/>
                <w:sz w:val="40"/>
                <w:szCs w:val="40"/>
              </w:rPr>
            </w:pPr>
            <w:r>
              <w:rPr>
                <w:rFonts w:hint="eastAsia" w:cs="Arial"/>
                <w:b/>
                <w:bCs/>
                <w:color w:val="000000"/>
                <w:sz w:val="40"/>
                <w:szCs w:val="40"/>
              </w:rPr>
              <w:t>苏州市级财政支出项目绩效自评价报告</w:t>
            </w:r>
          </w:p>
        </w:tc>
      </w:tr>
      <w:tr>
        <w:tblPrEx>
          <w:tblLayout w:type="fixed"/>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苏州市级财政支出项目绩效自评表</w:t>
            </w:r>
          </w:p>
        </w:tc>
      </w:tr>
      <w:tr>
        <w:tblPrEx>
          <w:tblLayout w:type="fixed"/>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苏州实验室科研和运行管理经费</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2</w:t>
            </w:r>
            <w:r>
              <w:rPr>
                <w:rFonts w:ascii="宋体" w:hAnsi="宋体"/>
                <w:sz w:val="22"/>
              </w:rPr>
              <w:t>02</w:t>
            </w:r>
            <w:r>
              <w:rPr>
                <w:rFonts w:hint="eastAsia" w:ascii="宋体" w:hAnsi="宋体"/>
                <w:sz w:val="22"/>
              </w:rPr>
              <w:t>3</w:t>
            </w:r>
          </w:p>
        </w:tc>
      </w:tr>
      <w:tr>
        <w:tblPrEx>
          <w:tblLayout w:type="fixed"/>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苏州市科学技术局</w:t>
            </w:r>
          </w:p>
        </w:tc>
      </w:tr>
      <w:tr>
        <w:tblPrEx>
          <w:tblLayout w:type="fixed"/>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当年使用上年结余、结转及当年调整预算数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指标结余收回数</w:t>
            </w:r>
          </w:p>
        </w:tc>
      </w:tr>
      <w:tr>
        <w:tblPrEx>
          <w:tblLayout w:type="fixed"/>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120000</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120000</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r>
      <w:tr>
        <w:tblPrEx>
          <w:tblLayout w:type="fixed"/>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其中：</w:t>
            </w:r>
          </w:p>
        </w:tc>
      </w:tr>
      <w:tr>
        <w:tblPrEx>
          <w:tblLayout w:type="fixed"/>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财政收回数</w:t>
            </w:r>
          </w:p>
        </w:tc>
      </w:tr>
      <w:tr>
        <w:tblPrEx>
          <w:tblLayout w:type="fixed"/>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120000</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120000</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ascii="宋体" w:hAnsi="宋体" w:eastAsia="宋体" w:cs="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120000</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苏州实验室科研和运行管理经费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120000</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ascii="宋体" w:hAnsi="宋体" w:eastAsia="宋体" w:cs="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项目绩效实现情况（80分）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苏州实验室制度建设</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苏州实验室信息平台建设</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sz w:val="22"/>
              </w:rPr>
              <w:t>80</w:t>
            </w:r>
          </w:p>
        </w:tc>
      </w:tr>
    </w:tbl>
    <w:p/>
    <w:tbl>
      <w:tblPr>
        <w:tblStyle w:val="5"/>
        <w:tblW w:w="8506" w:type="dxa"/>
        <w:tblInd w:w="-147" w:type="dxa"/>
        <w:tblLayout w:type="fixed"/>
        <w:tblCellMar>
          <w:top w:w="0" w:type="dxa"/>
          <w:left w:w="0" w:type="dxa"/>
          <w:bottom w:w="0" w:type="dxa"/>
          <w:right w:w="0" w:type="dxa"/>
        </w:tblCellMar>
      </w:tblPr>
      <w:tblGrid>
        <w:gridCol w:w="1547"/>
        <w:gridCol w:w="840"/>
        <w:gridCol w:w="960"/>
        <w:gridCol w:w="960"/>
        <w:gridCol w:w="960"/>
        <w:gridCol w:w="960"/>
        <w:gridCol w:w="960"/>
        <w:gridCol w:w="1319"/>
      </w:tblGrid>
      <w:tr>
        <w:tblPrEx>
          <w:tblLayout w:type="fixed"/>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填表说明：1.“市级预算执行情况”、“市级财政资金使用情况”均含非税收入。“年初预算数”填“二下”数；“当年使用上年结余、结转及当年调整预算数”填当年使用上年结余、结转数以及追加或调减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调整预算数-财政拨款数；资金结余、结转数=财政拨款数-实际支付数=结转数+财政收回数。2.“指标名称”中“决策”和“过程</w:t>
            </w:r>
            <w:r>
              <w:rPr>
                <w:rFonts w:cs="Arial"/>
                <w:color w:val="000000"/>
                <w:sz w:val="22"/>
              </w:rPr>
              <w:t>”</w:t>
            </w:r>
            <w:r>
              <w:rPr>
                <w:rFonts w:hint="eastAsia" w:cs="Arial"/>
                <w:color w:val="000000"/>
                <w:sz w:val="22"/>
              </w:rPr>
              <w:t>类指标根据项目类型，按照《2023年度苏州市级财政支出项目绩效评价共性指标》规定，逐一对照进行自评价；“产出”、“效果”、“满意度”三类指标填列预算部门（单位）报送的绩效目标申报表中经财政部门审核通过的指标，如发生绩效目标调整的，以经财政部门批准调整后的指标为准。3.各项指标权重值为根据指标数量将该类总分值分摊到各项指标的分值，即各项指标分值=该类总分值/指标个数。4.各项数据采集的时间节点均为20</w:t>
            </w:r>
            <w:r>
              <w:rPr>
                <w:rFonts w:cs="Arial"/>
                <w:color w:val="000000"/>
                <w:sz w:val="22"/>
              </w:rPr>
              <w:t>2</w:t>
            </w:r>
            <w:r>
              <w:rPr>
                <w:rFonts w:hint="eastAsia" w:cs="Arial"/>
                <w:color w:val="000000"/>
                <w:sz w:val="22"/>
              </w:rPr>
              <w:t>3年12月31日。定性指标按照 好、较好、一般、较差、差 等级评分，分别得对应权重值的100%、80%、60%、40%和20%。定量指标评分规则：“产出”类每项指标的实际完成值对应预期设定的目标值，完成100%～130%得权重值满分，实际完成值每低于目标值1个百分点相应扣减权重值的5%，超过130%的每超过1%扣权重值1%；除指标解释中有特别说明的以外，“投入”类指标评分规则同“产出”类指标；“结果”类每项指标的实际完成值对应预期设定的目标值，完成100%～200%得权重值满分，超过200%的每超过1%扣权重值1%,实际完成值每低于目标值1个百分点相应扣减权重值的5%。某项指标无法提供具体数值，且无说明，得0分。</w:t>
            </w:r>
          </w:p>
        </w:tc>
      </w:tr>
      <w:tr>
        <w:tblPrEx>
          <w:tblLayout w:type="fixed"/>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项目基本情况</w:t>
            </w: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服务保障苏州实验室建设</w:t>
            </w: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服务保障苏州实验室建设</w:t>
            </w: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服务保障苏州实验室建设</w:t>
            </w: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服务保障苏州实验室建设</w:t>
            </w: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服务保障苏州实验室建设</w:t>
            </w: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p>
        </w:tc>
      </w:tr>
      <w:tr>
        <w:tblPrEx>
          <w:tblLayout w:type="fixed"/>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p>
        </w:tc>
      </w:tr>
      <w:tr>
        <w:tblPrEx>
          <w:tblLayout w:type="fixed"/>
          <w:tblCellMar>
            <w:top w:w="0" w:type="dxa"/>
            <w:left w:w="0" w:type="dxa"/>
            <w:bottom w:w="0" w:type="dxa"/>
            <w:right w:w="0" w:type="dxa"/>
          </w:tblCellMar>
        </w:tblPrEx>
        <w:trPr>
          <w:trHeight w:val="285" w:hRule="atLeast"/>
        </w:trPr>
        <w:tc>
          <w:tcPr>
            <w:tcW w:w="8506" w:type="dxa"/>
            <w:gridSpan w:val="8"/>
            <w:tcBorders>
              <w:top w:val="single" w:color="auto" w:sz="4" w:space="0"/>
              <w:left w:val="nil"/>
              <w:bottom w:val="nil"/>
              <w:right w:val="nil"/>
            </w:tcBorders>
            <w:shd w:val="clear" w:color="auto" w:fill="auto"/>
            <w:noWrap/>
            <w:tcMar>
              <w:top w:w="15" w:type="dxa"/>
              <w:left w:w="15" w:type="dxa"/>
              <w:bottom w:w="0" w:type="dxa"/>
              <w:right w:w="15" w:type="dxa"/>
            </w:tcMar>
            <w:vAlign w:val="center"/>
          </w:tcPr>
          <w:p>
            <w:pPr>
              <w:rPr>
                <w:rFonts w:cs="Arial"/>
                <w:sz w:val="22"/>
              </w:rPr>
            </w:pPr>
            <w:r>
              <w:rPr>
                <w:rFonts w:hint="eastAsia" w:cs="Arial"/>
                <w:sz w:val="22"/>
              </w:rPr>
              <w:t>（标注：项目总目标、年度绩效目标由软件自动从申报表中生成）</w:t>
            </w:r>
          </w:p>
        </w:tc>
      </w:tr>
      <w:tr>
        <w:tblPrEx>
          <w:tblLayout w:type="fixed"/>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Arial Unicode MS"/>
    <w:panose1 w:val="00000000000000000000"/>
    <w:charset w:val="86"/>
    <w:family w:val="auto"/>
    <w:pitch w:val="default"/>
    <w:sig w:usb0="00000000" w:usb1="00000000"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41A17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258</Words>
  <Characters>1472</Characters>
  <Lines>12</Lines>
  <Paragraphs>3</Paragraphs>
  <TotalTime>117</TotalTime>
  <ScaleCrop>false</ScaleCrop>
  <LinksUpToDate>false</LinksUpToDate>
  <CharactersWithSpaces>1727</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admin</cp:lastModifiedBy>
  <dcterms:modified xsi:type="dcterms:W3CDTF">2024-09-23T06:53:05Z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