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0"/>
        </w:rPr>
      </w:pPr>
    </w:p>
    <w:p>
      <w:pPr>
        <w:spacing w:line="360" w:lineRule="auto"/>
        <w:jc w:val="center"/>
        <w:rPr>
          <w:rFonts w:ascii="黑体" w:hAnsi="黑体" w:eastAsia="黑体"/>
          <w:sz w:val="32"/>
          <w:szCs w:val="32"/>
        </w:rPr>
      </w:pPr>
      <w:r>
        <w:rPr>
          <w:rFonts w:hint="eastAsia" w:ascii="黑体" w:hAnsi="黑体" w:eastAsia="黑体"/>
          <w:sz w:val="32"/>
          <w:szCs w:val="32"/>
        </w:rPr>
        <w:t>苏州市市级预算部门（单位）整体支出预算绩效自评报告</w:t>
      </w:r>
    </w:p>
    <w:p>
      <w:pPr>
        <w:spacing w:line="360" w:lineRule="auto"/>
        <w:jc w:val="center"/>
        <w:rPr>
          <w:rFonts w:ascii="黑体" w:eastAsia="黑体"/>
          <w:sz w:val="32"/>
          <w:szCs w:val="32"/>
        </w:rPr>
      </w:pPr>
      <w:r>
        <w:rPr>
          <w:rFonts w:hint="eastAsia" w:ascii="黑体" w:eastAsia="黑体"/>
          <w:sz w:val="32"/>
          <w:szCs w:val="32"/>
        </w:rPr>
        <w:t>（2022年度）</w:t>
      </w:r>
    </w:p>
    <w:p>
      <w:pPr>
        <w:spacing w:line="360" w:lineRule="auto"/>
        <w:jc w:val="center"/>
        <w:rPr>
          <w:rFonts w:eastAsia="仿宋_GB2312"/>
          <w:sz w:val="30"/>
        </w:rPr>
      </w:pPr>
    </w:p>
    <w:p>
      <w:pPr>
        <w:spacing w:line="360" w:lineRule="auto"/>
        <w:ind w:firstLine="600" w:firstLineChars="200"/>
        <w:rPr>
          <w:rFonts w:hint="default" w:ascii="黑体" w:hAnsi="黑体" w:eastAsia="黑体"/>
          <w:sz w:val="30"/>
          <w:lang w:val="en-US" w:eastAsia="zh-CN"/>
        </w:rPr>
      </w:pPr>
      <w:r>
        <w:rPr>
          <w:rFonts w:hint="eastAsia" w:ascii="黑体" w:hAnsi="黑体" w:eastAsia="黑体"/>
          <w:sz w:val="30"/>
          <w:lang w:val="en-US" w:eastAsia="zh-CN"/>
        </w:rPr>
        <w:t>一、预算部门名称：</w:t>
      </w:r>
      <w:r>
        <w:rPr>
          <w:rFonts w:hint="eastAsia" w:ascii="宋体" w:hAnsi="宋体" w:eastAsia="宋体" w:cs="宋体"/>
          <w:sz w:val="24"/>
          <w:szCs w:val="24"/>
          <w:lang w:val="en-US" w:eastAsia="zh-CN"/>
        </w:rPr>
        <w:t>苏州市科技服务中心</w:t>
      </w:r>
    </w:p>
    <w:p>
      <w:pPr>
        <w:spacing w:line="360" w:lineRule="auto"/>
        <w:ind w:firstLine="600" w:firstLineChars="200"/>
        <w:rPr>
          <w:rFonts w:hint="eastAsia" w:ascii="黑体" w:hAnsi="黑体" w:eastAsia="黑体"/>
          <w:sz w:val="30"/>
          <w:lang w:val="en-US" w:eastAsia="zh-CN"/>
        </w:rPr>
      </w:pPr>
      <w:r>
        <w:rPr>
          <w:rFonts w:hint="eastAsia" w:ascii="黑体" w:hAnsi="黑体" w:eastAsia="黑体"/>
          <w:sz w:val="30"/>
          <w:lang w:val="en-US" w:eastAsia="zh-CN"/>
        </w:rPr>
        <w:t>二、</w:t>
      </w:r>
      <w:r>
        <w:rPr>
          <w:rFonts w:hint="default" w:ascii="黑体" w:hAnsi="黑体" w:eastAsia="黑体"/>
          <w:sz w:val="30"/>
          <w:lang w:val="en-US" w:eastAsia="zh-CN"/>
        </w:rPr>
        <w:t>年度履职目标完成情况</w:t>
      </w:r>
      <w:r>
        <w:rPr>
          <w:rFonts w:hint="eastAsia" w:ascii="黑体" w:hAnsi="黑体" w:eastAsia="黑体"/>
          <w:sz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rPr>
      </w:pPr>
      <w:r>
        <w:rPr>
          <w:rFonts w:hint="eastAsia" w:ascii="宋体" w:hAnsi="宋体" w:eastAsia="宋体" w:cs="宋体"/>
          <w:sz w:val="24"/>
          <w:szCs w:val="24"/>
          <w:lang w:val="en-US" w:eastAsia="zh-CN"/>
        </w:rPr>
        <w:t>1.科技情报服务：启动并完成《科创调研》策划编辑12期、产业研究报告超6篇，其中4篇获市领导批示；市科技咨询服务平台会员达5284家，年文献下载量超5万条，受理各类情报咨询超500项；完成2021年度《科技纵览》编撰工作。2.科技人才服务：全年受理各级各类科技人才项目超1200项，组织人才各类政策解答服务企业超1000家次；以市领军人才联合会为抓手，结合“科创360·小科帮你解难题”党建服务品牌建设，针对人才企业的不同需求，组织开展靶向主题活动超12场，服务人才企业超800家次。3.创新创业服务：以市双创中心为抓手，结合“科创360？创新创业会客厅”党建服务品牌建设，全年引进并孵化创新创业项目30个，引进创投机构或天使基金超2家，承接、支持各部门相关路演活动超15场次，并成功举办2022年“双创天堂”苏州青年科技创业大赛，助力全市科技招商。4.科技项目服务：全年受理各级各类科技项目约50小类近13000项，组织评审会近40场，邀请专家超600人次，配合局机关相关处室做好项目验收、实地考察、调研座谈、项目咨询、政策解读等工作。5.科技统计服务：完成国家、省、市三级50小类科技统计与监测工作，汇总、审核企业报表超2万家次；完成《苏州市科技数据监测快报》《苏州市科技统计数据汇编》编纂工作及相关统计分析工作。6.科技评估服务：做好2022年市高企培育认定出库、到期出库等工作，以及2021年市级独角兽培育企业后补助评估和2022年市级独角兽企业培育项目受理工作；完成省科技咨询专家库专家征集及已入库专家信息更新工作，市级科技专家库维护有序推进。7.科技信息化服务：开展安全检查、等保测评、日常维护等工作，对科技统一管理平台进行功能开发及优化调整14项，为超7500个科技项目的在线管理提供技术支持，科技局8个平台迁入政务云、5个业务平台接入苏商通。</w:t>
      </w:r>
    </w:p>
    <w:p>
      <w:pPr>
        <w:numPr>
          <w:ilvl w:val="0"/>
          <w:numId w:val="0"/>
        </w:numPr>
        <w:spacing w:line="360" w:lineRule="auto"/>
        <w:ind w:left="600" w:leftChars="0"/>
        <w:rPr>
          <w:rFonts w:ascii="黑体" w:hAnsi="黑体" w:eastAsia="黑体"/>
          <w:sz w:val="30"/>
        </w:rPr>
      </w:pPr>
      <w:r>
        <w:rPr>
          <w:rFonts w:hint="eastAsia" w:ascii="黑体" w:hAnsi="黑体" w:eastAsia="黑体"/>
          <w:sz w:val="30"/>
          <w:lang w:val="en-US" w:eastAsia="zh-CN"/>
        </w:rPr>
        <w:t>三、</w:t>
      </w:r>
      <w:r>
        <w:rPr>
          <w:rFonts w:hint="eastAsia" w:ascii="黑体" w:hAnsi="黑体" w:eastAsia="黑体"/>
          <w:sz w:val="30"/>
        </w:rPr>
        <w:t>部门（单位）概况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苏州市科技服务中心（姑苏人才计划服务中心、苏州市科技情报研究所）是市科学技术局直属公益一类副处级全额拨款事业单位，主要从事科技情报服务与产业研究、科技人才服务、市双创中心建设与运营管理、科技项目受理及评审、科技统计与分析研究、科技评估与评价、科技信息化建设与运维等工作。主要职能包括：1.承担国家、省、市级科技人才项目的申报受理及评审的组织工作，负责苏州市领军人才联合会日常管理等工作。2.承担国家、省、市科技项目的申报受理、形式审查、专家邀请、合同管理等工作；承担市级科技项目评审、省级科技项目初评的组织工作；负责技术先进型服务企业等申报受理工作。3.承担国家、省、市科技统计工作；开展相关专项统计工作；负责《苏州市科技统计数据汇编》编辑出版工作；开展科技统计分析研究工作。4.组织开展科技政策、新兴产业发展、技术预测、专利分析、竞争情报等研究工作；开展科技服务业研究工作；负责《科创调研》和《苏州科技纵览》编撰工作；承担科技咨询服务平台建设工作；负责科技文献资源的收集、整理、加工等工作；开展科技查新、成果评价、定题检索、标准有效性查证、原文传递、论文收录及引用查询等科技服务工作。5.负责科技系统信息化技术支撑及运行维护等工作；承担市科技局门户网站建设相关工作；负责科技计划项目管理系统的开发、运行、维护和培训等工作；负责科技咨询服务平台维护工作。6.承担市级科技计划项目的评估评价管理工作；负责科技计划项目的中期检查、滚动支持、结题验收等工作；承担实验动物生产及使用许可证的申报、年检工作，组织开展实验动物从业人员上岗资格培训和考试工作；负责市科技进步奖、内外资研发机构等申报受理工作，负责专家库建设与维护工作。7.承担苏州市双创中心建设、科技招商和运营管理工作；承担苏州市双创中心线上服务平台建设和运维工作；为入驻企业提供工商企业注册、创新创业培训指导、科技政策解读等服务。本单位内设科室8个，包括办公室、科技情报科（产业促进科）、科技人才科、科技评估科（项目服务科）、高新技术服务科、科技统计科、科技信息科、双创服务科。本单位无下属单位。2022年底，服务中心事业编制43名，在职42人；公益性编制4名，在职3人。</w:t>
      </w:r>
    </w:p>
    <w:p>
      <w:pPr>
        <w:numPr>
          <w:ilvl w:val="0"/>
          <w:numId w:val="0"/>
        </w:numPr>
        <w:spacing w:line="360" w:lineRule="auto"/>
        <w:ind w:left="600" w:leftChars="0"/>
        <w:rPr>
          <w:rFonts w:ascii="黑体" w:hAnsi="黑体" w:eastAsia="黑体"/>
          <w:sz w:val="30"/>
        </w:rPr>
      </w:pPr>
      <w:r>
        <w:rPr>
          <w:rFonts w:hint="eastAsia" w:ascii="黑体" w:hAnsi="黑体" w:eastAsia="黑体"/>
          <w:sz w:val="30"/>
          <w:lang w:val="en-US" w:eastAsia="zh-CN"/>
        </w:rPr>
        <w:t>四、</w:t>
      </w:r>
      <w:r>
        <w:rPr>
          <w:rFonts w:hint="eastAsia" w:ascii="黑体" w:hAnsi="黑体" w:eastAsia="黑体"/>
          <w:sz w:val="30"/>
        </w:rPr>
        <w:t>部门</w:t>
      </w:r>
      <w:r>
        <w:rPr>
          <w:rFonts w:ascii="黑体" w:hAnsi="黑体" w:eastAsia="黑体"/>
          <w:sz w:val="30"/>
        </w:rPr>
        <w:t>（</w:t>
      </w:r>
      <w:r>
        <w:rPr>
          <w:rFonts w:hint="eastAsia" w:ascii="黑体" w:hAnsi="黑体" w:eastAsia="黑体"/>
          <w:sz w:val="30"/>
        </w:rPr>
        <w:t>单位</w:t>
      </w:r>
      <w:r>
        <w:rPr>
          <w:rFonts w:ascii="黑体" w:hAnsi="黑体" w:eastAsia="黑体"/>
          <w:sz w:val="30"/>
        </w:rPr>
        <w:t>）</w:t>
      </w:r>
      <w:r>
        <w:rPr>
          <w:rFonts w:hint="eastAsia" w:ascii="黑体" w:hAnsi="黑体" w:eastAsia="黑体"/>
          <w:sz w:val="30"/>
        </w:rPr>
        <w:t>整体支出绩效实现情况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中心按要求在规定时间内完成了部门整体支出预算、绩效目标的编制与申报，并如期完成决算报表；按要求在规定时间内在市科技局网站、预决算统一平台公示相关信息。2.不断建立和完善各项规章制度，制定《公务接待管理办法》，修订支出业务、差旅费管理、公务用车等制度，严格执行经费支出审批制度，紧盯用款、报销等关键环节，防范财务管理风险。3.承接局机关职能延伸。一是项目受理服务。全年受理省、市各类科技项目约50小类近15000项，组织线上线下评审会近40场，邀请专家超600人次；配合局机关相关处室做好项目验收、绩效评价、实地考察、调研座谈、动态检测等工作；配合完成外国人来华工作许可一级预审、决定审批2320件；做好各类科技政策、人才政策的线上线下宣传、解读、辅导等工作；配合局机关做好省科技咨询专家库专家征集及已入库专家信息更新工作，共受理46名企业专家的入库申请，完成526名已入库专家的信息更新工作，征集104位省高企认定专家上报省厅。二是统计与分析服务。完成国家、省、市级三级50小类科技统计工作，累计汇总、整理、审核表格超2万家次；每月重点监测9类反映苏州科技工作推进成效的指标并进行简要分析，并编印《苏州市科技数据监测快报》，支撑科技管理决策；完成2021年度全市科技工作统计数据报告、苏州市重点科技创新政策落实情况等统计分析工作；完成《2021年度苏州市科技统计数据汇编》编纂工作。三是科技信息化服务。做好网络安全检查和日常维护工作，完成安全专项检查、安全漏洞扫描、安全普查等的处理与上报工作；推动科技政务信息资源整合和数据共享，科技局8个平台全部迁入政务云，5个业务平台全部接入苏商通，科技统一管理平台与政务服务网实现系统对接；开发及优化调整科技统一管理平台功能，建设与完善项目查重、项目信用审查、统一认证对接等14项功能，在线管理22个大类97个子类科技计划的超7500个项目提供技术支持；完成国产化信息设备替换、OA系统等保测评、高企申报服务平台IPV6地址改造等工作。四是实验动物管理。配合完成36家单位44份实验动物许可证的年检工作；配合完成实验动物许可证新证申请、换证申请、延期及业务范围变更；组织2022年度省实验动物工作先进集体及先进个人申报工作；协助完成省级实验动物环境检测及质量抽查12家次、省级实验动物突发生物安全应急处置实操活动等工作。4.科技情报服务。为贯彻落实局机关对加强高质量科技情报工作的要求，加强情报工作在政府建言献策中的作用，启动《科创调研》策划编辑工作，构建“科技月报+调研报告+战略研究”内容体系，全年完成《科创调研》12期、产业研究报告超6篇，呈报市委、市政府，省、市及板块科技工作相关部门，及时展现和宣传我市创新企业、领军人才、载体平台、技术前沿、科技创新指标数据及机制体制改革新举措新思路，其中4篇获市领导批示。完成2021年度《科技纵览》编撰工作。依托苏州市科技咨询服务平台，开展期刊论文、产业情报、决策参考等科技信息服务，平台会员达5284家，访问量累计约600万次，年文献下载量超5万条，年度受理文献下载、标准咨询、有效性查证、科技查新等情报咨询服务超500项。做好苏州市科技创新服务联盟云端服务，及时了解会员需求，助力复工复产和经验交流，支持会员单位举办生产性服务业领军实操技巧、股权激励中个税及企业所得税税前处理等公益活动。5.科技人才服务。以苏州市领军人才联合会为抓手，针对人才企业各方面的需求，开展一系列品牌主题活动，为高层次人才提供精准、贴心的服务。组织苏州市高层次人才市情体验专线活动，共设置20线路，226组人才家庭、529人次参与活动，提升人才对苏州的全面认知和情感认同，不断优化“人到苏州必有为”的创新创业生态。以“人才服务推广年”为契机，结合“科创360·小科帮你解难题”党建服务品牌建设，组织开展靶向主题活动超12场，服务人才企业超800家次。针对人才企业融资难、融资贵等问题，开展线上线下金融对接服务，为创业期、成长期、成熟期等不同阶段的企业提供相应融资解决方案；针对科技人才企业招聘难题，积极与人社部门沟通，动员企业参加“校园苏州日”活动，引进重点高校的紧缺专业优秀毕业生；针对企业技术发展难题，通过走进行业标杆、龙头骨干企业等系列活动，链接产业上下游，帮助企业了解行业技术发展方向，实现项目或技术合作；针对企业项目申报经验不足问题，邀请专家进行企业项目辅导，提供申报材料规范整理、面试答辩辅导等服务。为增进领军人才与科技干部的互动交流，组织成立“新动力”科技跑团，首次开跑由市领导带队参加2022苏州“环太湖1号公路”马拉松比赛，全部22位参赛选手顺利完赛；举办2022年“苏州银行杯”苏州市领军人才羽毛球邀请赛，吸引40多家人才企业的24支代表队、近150名羽毛球爱好者参赛，在运动中搭建起人才、企业、机构之间的沟通渠道。6.创新创业服务。市双创中心作为市委市政府重点打造的招才引智平台，积极打造来苏创新创业第一站和中转站，加强与苏州十大板块联动，助力全市科技招商工作，已在张家港市、常熟市、太仓市、吴江区、吴中区、相城区、高新区建立县级市（区）分中心7个，“1+N”服务网络初具规模。着力打造“运河湾路演中心”，全年承接、支持来自科技、工信、人社、团委等各部门相关路演活动超15场次。举办2022年“双创天堂”苏州青年科技创业大赛，依托姑苏领军人才“青年领军专项”，聚焦青年人才引育，大赛企业组遴选出76个项目立项姑苏领军人才；储备项目组纳入苏州科技商学院“科创未来营”活动，由苏州十个板块科技局按照青年领军项目要求向外征集未落户项目，探索“1+1”（即一天集中培训，一天项目路演大赛）和“以训带评、以训促赛”模式，评选出24个“青年领军专项”未落户项目，目前已落户20个。充分发挥市级科技招才引智平台优势，全年引进并孵化创新创业项目30个，引进创投机构或天使基金超2家，推进各级领军人才与条线部门、科研院所、创投机构、行业协会的对接，加大学术、科研、产业发展等方面的交流。</w:t>
      </w:r>
    </w:p>
    <w:p>
      <w:pPr>
        <w:numPr>
          <w:ilvl w:val="0"/>
          <w:numId w:val="0"/>
        </w:numPr>
        <w:spacing w:line="360" w:lineRule="auto"/>
        <w:ind w:left="600" w:leftChars="0"/>
        <w:rPr>
          <w:rFonts w:ascii="黑体" w:hAnsi="黑体" w:eastAsia="黑体"/>
          <w:sz w:val="30"/>
        </w:rPr>
      </w:pPr>
      <w:r>
        <w:rPr>
          <w:rFonts w:hint="eastAsia" w:ascii="黑体" w:hAnsi="黑体" w:eastAsia="黑体"/>
          <w:sz w:val="30"/>
          <w:lang w:val="en-US" w:eastAsia="zh-CN"/>
        </w:rPr>
        <w:t>五、</w:t>
      </w:r>
      <w:r>
        <w:rPr>
          <w:rFonts w:hint="eastAsia" w:ascii="黑体" w:hAnsi="黑体" w:eastAsia="黑体"/>
          <w:sz w:val="30"/>
        </w:rPr>
        <w:t>部门</w:t>
      </w:r>
      <w:r>
        <w:rPr>
          <w:rFonts w:ascii="黑体" w:hAnsi="黑体" w:eastAsia="黑体"/>
          <w:sz w:val="30"/>
        </w:rPr>
        <w:t>（</w:t>
      </w:r>
      <w:r>
        <w:rPr>
          <w:rFonts w:hint="eastAsia" w:ascii="黑体" w:hAnsi="黑体" w:eastAsia="黑体"/>
          <w:sz w:val="30"/>
        </w:rPr>
        <w:t>单位</w:t>
      </w:r>
      <w:r>
        <w:rPr>
          <w:rFonts w:ascii="黑体" w:hAnsi="黑体" w:eastAsia="黑体"/>
          <w:sz w:val="30"/>
        </w:rPr>
        <w:t>）</w:t>
      </w:r>
      <w:r>
        <w:rPr>
          <w:rFonts w:hint="eastAsia" w:ascii="黑体" w:hAnsi="黑体" w:eastAsia="黑体"/>
          <w:sz w:val="30"/>
        </w:rPr>
        <w:t>整体支出绩效中存</w:t>
      </w:r>
      <w:r>
        <w:rPr>
          <w:rFonts w:ascii="黑体" w:hAnsi="黑体" w:eastAsia="黑体"/>
          <w:sz w:val="30"/>
        </w:rPr>
        <w:t>在问题</w:t>
      </w:r>
      <w:r>
        <w:rPr>
          <w:rFonts w:hint="eastAsia" w:ascii="黑体" w:hAnsi="黑体" w:eastAsia="黑体"/>
          <w:sz w:val="30"/>
        </w:rPr>
        <w:t>及</w:t>
      </w:r>
      <w:r>
        <w:rPr>
          <w:rFonts w:ascii="黑体" w:hAnsi="黑体" w:eastAsia="黑体"/>
          <w:sz w:val="30"/>
        </w:rPr>
        <w:t>改进措施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2022年，中心支出绩效情况整体向好，各项工作成效显著，同时也存在个别项目预算执行率未达到100%、个别绩效目标未能完成的情况。具体如下：1.整体预算执行率为95.09%，未能达到100%。2022年，年初预算1905.66万元，上年度结转及当年预算追加追减197.53万元，当年调整预算2103.19万元，实际支出1999.97万元，预算执行率为95.09%。主要原因是受新冠疫情影响，公用经费开支节约，统筹医疗补助结余。2.项目受理数量未达预期。2022年计划受理、评估项目不少于15000项，实际受理、评估项目12880项，未完成目标。主要原因，根据市科技局工作部署，从2022年起，苏州市级层面不再统一组织开展市级高新技术企业培育入库工作，因此项目总数少于年初预期。改进措施：一是进一步加强预算管理，建立有效的预算控制机制，科学制定预算绩效指标，根据实际情况进行预算设置；把预算编制、审批、执行和评价统一起来，加强对预算执行情况的实时监控，确保预算执行的有效性。二是及时了解相关政策变动，调整年度履职目标；进一步加强对履职目标的跟进管理，及时掌握目标完成情况。</w:t>
      </w:r>
    </w:p>
    <w:p>
      <w:pPr>
        <w:numPr>
          <w:ilvl w:val="0"/>
          <w:numId w:val="0"/>
        </w:numPr>
        <w:spacing w:line="360" w:lineRule="auto"/>
        <w:ind w:left="600" w:leftChars="0"/>
        <w:rPr>
          <w:rFonts w:ascii="黑体" w:hAnsi="黑体" w:eastAsia="黑体"/>
          <w:sz w:val="30"/>
        </w:rPr>
      </w:pPr>
      <w:r>
        <w:rPr>
          <w:rFonts w:hint="eastAsia" w:ascii="黑体" w:hAnsi="黑体" w:eastAsia="黑体"/>
          <w:sz w:val="30"/>
          <w:lang w:val="en-US" w:eastAsia="zh-CN"/>
        </w:rPr>
        <w:t>六、</w:t>
      </w:r>
      <w:r>
        <w:rPr>
          <w:rFonts w:ascii="黑体" w:hAnsi="黑体" w:eastAsia="黑体"/>
          <w:sz w:val="30"/>
        </w:rPr>
        <w:t>绩效自评</w:t>
      </w:r>
      <w:r>
        <w:rPr>
          <w:rFonts w:hint="eastAsia" w:ascii="黑体" w:hAnsi="黑体" w:eastAsia="黑体"/>
          <w:sz w:val="30"/>
        </w:rPr>
        <w:t>结果</w:t>
      </w:r>
      <w:r>
        <w:rPr>
          <w:rFonts w:ascii="黑体" w:hAnsi="黑体" w:eastAsia="黑体"/>
          <w:sz w:val="30"/>
        </w:rPr>
        <w:t>拟应用和公开</w:t>
      </w:r>
      <w:r>
        <w:rPr>
          <w:rFonts w:hint="eastAsia" w:ascii="黑体" w:hAnsi="黑体" w:eastAsia="黑体"/>
          <w:sz w:val="30"/>
        </w:rPr>
        <w:t>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通过绩效自评，进一步掌握了资金使用情况和取得的效果，发现了工作中存在的问题和不足，为今后进一步加强资金使用管理、完善资金绩效管理、提高资金使用效益工作提供了重要的参考依据。本自评结果拟用于与今后苏州市科技服务中心整体支出预算、项目支出预算的申请和使用。2.将自评结果编入中心决算并依法在市科技局门户网站上予向社会公开，广泛接受群众监督。</w:t>
      </w:r>
    </w:p>
    <w:p>
      <w:pPr>
        <w:numPr>
          <w:ilvl w:val="0"/>
          <w:numId w:val="0"/>
        </w:numPr>
        <w:spacing w:line="360" w:lineRule="auto"/>
        <w:rPr>
          <w:rFonts w:hint="default" w:ascii="黑体" w:hAnsi="黑体" w:eastAsia="黑体"/>
          <w:sz w:val="30"/>
          <w:lang w:val="en-US" w:eastAsia="zh-CN"/>
        </w:rPr>
        <w:sectPr>
          <w:headerReference r:id="rId3" w:type="default"/>
          <w:footerReference r:id="rId5" w:type="default"/>
          <w:headerReference r:id="rId4" w:type="even"/>
          <w:footerReference r:id="rId6" w:type="even"/>
          <w:pgSz w:w="11907" w:h="16840"/>
          <w:pgMar w:top="1247" w:right="1400" w:bottom="1089" w:left="1559" w:header="851" w:footer="992" w:gutter="0"/>
          <w:paperSrc w:first="15" w:other="15"/>
          <w:pgBorders>
            <w:top w:val="none" w:sz="0" w:space="0"/>
            <w:left w:val="none" w:sz="0" w:space="0"/>
            <w:bottom w:val="none" w:sz="0" w:space="0"/>
            <w:right w:val="none" w:sz="0" w:space="0"/>
          </w:pgBorders>
          <w:cols w:space="720" w:num="1"/>
          <w:docGrid w:type="lines" w:linePitch="312" w:charSpace="0"/>
        </w:sectPr>
      </w:pPr>
    </w:p>
    <w:p>
      <w:pPr>
        <w:numPr>
          <w:ilvl w:val="0"/>
          <w:numId w:val="1"/>
        </w:numPr>
        <w:spacing w:line="360" w:lineRule="auto"/>
        <w:ind w:left="600" w:leftChars="0" w:firstLine="0" w:firstLineChars="0"/>
        <w:rPr>
          <w:rFonts w:hint="eastAsia" w:ascii="黑体" w:hAnsi="黑体" w:eastAsia="黑体"/>
          <w:sz w:val="30"/>
          <w:lang w:val="en-US" w:eastAsia="zh-CN"/>
        </w:rPr>
      </w:pPr>
      <w:r>
        <w:rPr>
          <w:rFonts w:hint="eastAsia" w:ascii="黑体" w:hAnsi="黑体" w:eastAsia="黑体"/>
          <w:sz w:val="30"/>
          <w:lang w:val="en-US" w:eastAsia="zh-CN"/>
        </w:rPr>
        <w:t>预算信息</w:t>
      </w:r>
    </w:p>
    <w:p>
      <w:pPr>
        <w:numPr>
          <w:ilvl w:val="0"/>
          <w:numId w:val="0"/>
        </w:numPr>
        <w:spacing w:line="360" w:lineRule="auto"/>
        <w:ind w:left="600" w:leftChars="0"/>
        <w:rPr>
          <w:rFonts w:hint="eastAsia" w:ascii="黑体" w:hAnsi="黑体" w:eastAsia="黑体"/>
          <w:sz w:val="30"/>
          <w:lang w:val="en-US" w:eastAsia="zh-CN"/>
        </w:rPr>
      </w:pPr>
    </w:p>
    <w:tbl>
      <w:tblPr>
        <w:tblStyle w:val="5"/>
        <w:tblW w:w="14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9"/>
        <w:gridCol w:w="2268"/>
        <w:gridCol w:w="2268"/>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079" w:type="dxa"/>
            <w:shd w:val="clear" w:color="000000" w:fill="BFBFBF"/>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本年度预算资金（万元）</w:t>
            </w:r>
            <w:r>
              <w:rPr>
                <w:rFonts w:hint="eastAsia" w:ascii="宋体" w:hAnsi="宋体" w:eastAsia="宋体" w:cs="宋体"/>
                <w:b/>
                <w:bCs/>
                <w:kern w:val="0"/>
                <w:sz w:val="24"/>
                <w:szCs w:val="24"/>
              </w:rPr>
              <w:t/>
            </w:r>
          </w:p>
        </w:tc>
        <w:tc>
          <w:tcPr>
            <w:tcW w:w="2268" w:type="dxa"/>
            <w:shd w:val="clear" w:color="000000" w:fill="BFBFBF"/>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年初预算数（万元）</w:t>
            </w:r>
          </w:p>
        </w:tc>
        <w:tc>
          <w:tcPr>
            <w:tcW w:w="2268" w:type="dxa"/>
            <w:shd w:val="clear" w:color="000000" w:fill="BFBFBF"/>
            <w:vAlign w:val="center"/>
          </w:tcPr>
          <w:p>
            <w:pPr>
              <w:widowControl/>
              <w:jc w:val="center"/>
              <w:rPr>
                <w:rFonts w:hint="eastAsia" w:ascii="宋体" w:hAnsi="宋体" w:eastAsia="宋体" w:cs="宋体"/>
                <w:b/>
                <w:bCs/>
                <w:kern w:val="0"/>
                <w:sz w:val="24"/>
                <w:szCs w:val="24"/>
                <w:lang w:val="en-US"/>
              </w:rPr>
            </w:pPr>
            <w:r>
              <w:rPr>
                <w:rFonts w:hint="eastAsia" w:ascii="宋体" w:hAnsi="宋体" w:eastAsia="宋体" w:cs="宋体"/>
                <w:b/>
                <w:bCs/>
                <w:kern w:val="0"/>
                <w:sz w:val="24"/>
                <w:szCs w:val="24"/>
                <w:lang w:val="en-US" w:eastAsia="zh-CN"/>
              </w:rPr>
              <w:t>上年度结转及当年预算追加追减数(万元）</w:t>
            </w:r>
          </w:p>
        </w:tc>
        <w:tc>
          <w:tcPr>
            <w:tcW w:w="2268" w:type="dxa"/>
            <w:shd w:val="clear" w:color="000000" w:fill="BFBFBF"/>
            <w:vAlign w:val="center"/>
          </w:tcPr>
          <w:p>
            <w:pPr>
              <w:widowControl/>
              <w:jc w:val="center"/>
              <w:rPr>
                <w:rFonts w:hint="eastAsia" w:ascii="宋体" w:hAnsi="宋体" w:eastAsia="宋体" w:cs="宋体"/>
                <w:b/>
                <w:bCs/>
                <w:kern w:val="0"/>
                <w:sz w:val="24"/>
                <w:szCs w:val="24"/>
                <w:lang w:val="en-US"/>
              </w:rPr>
            </w:pPr>
            <w:r>
              <w:rPr>
                <w:rFonts w:hint="eastAsia" w:ascii="宋体" w:hAnsi="宋体" w:eastAsia="宋体" w:cs="宋体"/>
                <w:b/>
                <w:bCs/>
                <w:kern w:val="0"/>
                <w:sz w:val="24"/>
                <w:szCs w:val="24"/>
                <w:lang w:val="en-US" w:eastAsia="zh-CN"/>
              </w:rPr>
              <w:t>调整预算数（万元）</w:t>
            </w:r>
          </w:p>
        </w:tc>
        <w:tc>
          <w:tcPr>
            <w:tcW w:w="2268" w:type="dxa"/>
            <w:shd w:val="clear" w:color="000000" w:fill="BFBFBF"/>
            <w:vAlign w:val="center"/>
          </w:tcPr>
          <w:p>
            <w:pPr>
              <w:widowControl/>
              <w:jc w:val="center"/>
              <w:rPr>
                <w:rFonts w:hint="eastAsia" w:ascii="宋体" w:hAnsi="宋体" w:eastAsia="宋体" w:cs="宋体"/>
                <w:b/>
                <w:bCs/>
                <w:kern w:val="0"/>
                <w:sz w:val="24"/>
                <w:szCs w:val="24"/>
                <w:lang w:val="en-US"/>
              </w:rPr>
            </w:pPr>
            <w:r>
              <w:rPr>
                <w:rFonts w:hint="eastAsia" w:ascii="宋体" w:hAnsi="宋体" w:eastAsia="宋体" w:cs="宋体"/>
                <w:b/>
                <w:bCs/>
                <w:kern w:val="0"/>
                <w:sz w:val="24"/>
                <w:szCs w:val="24"/>
                <w:lang w:val="en-US" w:eastAsia="zh-CN"/>
              </w:rPr>
              <w:t>实际支出数（万元）</w:t>
            </w:r>
          </w:p>
        </w:tc>
        <w:tc>
          <w:tcPr>
            <w:tcW w:w="2268" w:type="dxa"/>
            <w:shd w:val="clear" w:color="000000" w:fill="BFBFBF"/>
            <w:vAlign w:val="center"/>
          </w:tcPr>
          <w:p>
            <w:pPr>
              <w:widowControl/>
              <w:jc w:val="center"/>
              <w:rPr>
                <w:rFonts w:hint="eastAsia" w:ascii="宋体" w:hAnsi="宋体" w:eastAsia="宋体" w:cs="宋体"/>
                <w:b/>
                <w:bCs/>
                <w:kern w:val="0"/>
                <w:sz w:val="24"/>
                <w:szCs w:val="24"/>
                <w:lang w:val="en-US"/>
              </w:rPr>
            </w:pPr>
            <w:r>
              <w:rPr>
                <w:rFonts w:hint="eastAsia" w:ascii="宋体" w:hAnsi="宋体" w:eastAsia="宋体" w:cs="宋体"/>
                <w:b/>
                <w:bCs/>
                <w:kern w:val="0"/>
                <w:sz w:val="24"/>
                <w:szCs w:val="24"/>
                <w:lang w:val="en-US" w:eastAsia="zh-CN"/>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预算总金额</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1905.66</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197.53</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2103.19</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1999.97</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基本支出</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1356.61</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197.53</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1554.14</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1451.77</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项目支出</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549.05</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549.05</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548.2</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网络光纤租赁费</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6</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职工伙食经费</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33.13</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33.13</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33.13</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职工体检费</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11.52</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11.52</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11.52</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党团活动经费</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4.4</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4.4</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3.87</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办公设备购置</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0.96</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科技文献资源</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27</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27</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26.95</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苏州市双创中心物业管理费</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306</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306</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306</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省工程文献苏州分中心建设</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苏州市双创中心众创空间运营服务</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150</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150</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149.76</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99.85%</w:t>
            </w:r>
          </w:p>
        </w:tc>
      </w:tr>
    </w:tbl>
    <w:p>
      <w:pPr>
        <w:numPr>
          <w:ilvl w:val="0"/>
          <w:numId w:val="0"/>
        </w:numPr>
        <w:spacing w:line="360" w:lineRule="auto"/>
        <w:ind w:left="600" w:leftChars="0"/>
        <w:rPr>
          <w:rFonts w:hint="eastAsia" w:ascii="黑体" w:hAnsi="黑体" w:eastAsia="黑体"/>
          <w:sz w:val="30"/>
          <w:lang w:val="en-US" w:eastAsia="zh-CN"/>
        </w:rPr>
      </w:pPr>
    </w:p>
    <w:p>
      <w:pPr>
        <w:numPr>
          <w:ilvl w:val="0"/>
          <w:numId w:val="1"/>
        </w:numPr>
        <w:spacing w:line="360" w:lineRule="auto"/>
        <w:ind w:left="600" w:leftChars="0" w:firstLine="0" w:firstLineChars="0"/>
        <w:rPr>
          <w:rFonts w:hint="eastAsia" w:ascii="黑体" w:hAnsi="黑体" w:eastAsia="黑体"/>
          <w:sz w:val="30"/>
          <w:lang w:val="en-US" w:eastAsia="zh-CN"/>
        </w:rPr>
      </w:pPr>
      <w:r>
        <w:rPr>
          <w:rFonts w:hint="eastAsia" w:ascii="黑体" w:hAnsi="黑体" w:eastAsia="黑体"/>
          <w:sz w:val="30"/>
          <w:lang w:val="en-US" w:eastAsia="zh-CN"/>
        </w:rPr>
        <w:t>年度重点任务</w:t>
      </w:r>
    </w:p>
    <w:p>
      <w:pPr>
        <w:numPr>
          <w:ilvl w:val="0"/>
          <w:numId w:val="0"/>
        </w:numPr>
        <w:spacing w:line="360" w:lineRule="auto"/>
        <w:ind w:left="600" w:leftChars="0"/>
        <w:rPr>
          <w:rFonts w:hint="eastAsia" w:ascii="黑体" w:hAnsi="黑体" w:eastAsia="黑体"/>
          <w:sz w:val="30"/>
          <w:lang w:val="en-US" w:eastAsia="zh-CN"/>
        </w:rPr>
      </w:pPr>
    </w:p>
    <w:tbl>
      <w:tblPr>
        <w:tblStyle w:val="5"/>
        <w:tblW w:w="13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9"/>
        <w:gridCol w:w="3818"/>
        <w:gridCol w:w="3538"/>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419" w:type="dxa"/>
            <w:shd w:val="clear" w:color="000000" w:fill="BFBFBF"/>
            <w:vAlign w:val="center"/>
          </w:tcPr>
          <w:p>
            <w:pPr>
              <w:widowControl/>
              <w:jc w:val="center"/>
              <w:rPr>
                <w:rFonts w:hint="eastAsia" w:ascii="宋体" w:hAnsi="宋体" w:eastAsia="宋体" w:cs="宋体"/>
                <w:b/>
                <w:bCs/>
                <w:kern w:val="0"/>
                <w:sz w:val="24"/>
                <w:szCs w:val="24"/>
                <w:lang w:val="en-US" w:eastAsia="zh-CN"/>
              </w:rPr>
            </w:pPr>
          </w:p>
          <w:p>
            <w:pPr>
              <w:widowControl/>
              <w:jc w:val="center"/>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对应部门主要职责</w:t>
            </w:r>
          </w:p>
          <w:p>
            <w:pPr>
              <w:widowControl/>
              <w:jc w:val="center"/>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
            </w:r>
          </w:p>
        </w:tc>
        <w:tc>
          <w:tcPr>
            <w:tcW w:w="3818" w:type="dxa"/>
            <w:shd w:val="clear" w:color="000000" w:fill="BFBFBF"/>
            <w:vAlign w:val="center"/>
          </w:tcPr>
          <w:p>
            <w:pPr>
              <w:widowControl/>
              <w:jc w:val="center"/>
              <w:rPr>
                <w:rFonts w:hint="eastAsia" w:ascii="宋体" w:hAnsi="宋体" w:eastAsia="宋体" w:cs="宋体"/>
                <w:b/>
                <w:bCs/>
                <w:kern w:val="0"/>
                <w:sz w:val="24"/>
                <w:szCs w:val="24"/>
                <w:lang w:val="en-US"/>
              </w:rPr>
            </w:pPr>
            <w:r>
              <w:rPr>
                <w:rFonts w:hint="eastAsia" w:ascii="宋体" w:hAnsi="宋体" w:eastAsia="宋体" w:cs="宋体"/>
                <w:b/>
                <w:bCs/>
                <w:kern w:val="0"/>
                <w:sz w:val="24"/>
                <w:szCs w:val="24"/>
                <w:lang w:val="en-US" w:eastAsia="zh-CN"/>
              </w:rPr>
              <w:t>任务名称</w:t>
            </w:r>
          </w:p>
        </w:tc>
        <w:tc>
          <w:tcPr>
            <w:tcW w:w="3538" w:type="dxa"/>
            <w:shd w:val="clear" w:color="000000" w:fill="BFBFBF"/>
            <w:vAlign w:val="center"/>
          </w:tcPr>
          <w:p>
            <w:pPr>
              <w:widowControl/>
              <w:jc w:val="center"/>
              <w:rPr>
                <w:rFonts w:hint="eastAsia" w:ascii="宋体" w:hAnsi="宋体" w:eastAsia="宋体" w:cs="宋体"/>
                <w:b/>
                <w:bCs/>
                <w:kern w:val="0"/>
                <w:sz w:val="24"/>
                <w:szCs w:val="24"/>
                <w:lang w:val="en-US"/>
              </w:rPr>
            </w:pPr>
            <w:r>
              <w:rPr>
                <w:rFonts w:hint="eastAsia" w:ascii="宋体" w:hAnsi="宋体" w:eastAsia="宋体" w:cs="宋体"/>
                <w:b/>
                <w:bCs/>
                <w:kern w:val="0"/>
                <w:sz w:val="24"/>
                <w:szCs w:val="24"/>
                <w:lang w:val="en-US" w:eastAsia="zh-CN"/>
              </w:rPr>
              <w:t>主要内容</w:t>
            </w:r>
          </w:p>
        </w:tc>
        <w:tc>
          <w:tcPr>
            <w:tcW w:w="2742" w:type="dxa"/>
            <w:shd w:val="clear" w:color="000000" w:fill="BFBFBF"/>
            <w:vAlign w:val="center"/>
          </w:tcPr>
          <w:p>
            <w:pPr>
              <w:widowControl/>
              <w:jc w:val="center"/>
              <w:rPr>
                <w:rFonts w:hint="eastAsia" w:ascii="宋体" w:hAnsi="宋体" w:eastAsia="宋体" w:cs="宋体"/>
                <w:b/>
                <w:bCs/>
                <w:kern w:val="0"/>
                <w:sz w:val="24"/>
                <w:szCs w:val="24"/>
                <w:lang w:val="en-US"/>
              </w:rPr>
            </w:pPr>
            <w:r>
              <w:rPr>
                <w:rFonts w:hint="eastAsia" w:ascii="宋体" w:hAnsi="宋体" w:eastAsia="宋体" w:cs="宋体"/>
                <w:b/>
                <w:bCs/>
                <w:kern w:val="0"/>
                <w:sz w:val="24"/>
                <w:szCs w:val="24"/>
                <w:lang w:val="en-US" w:eastAsia="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rPr>
          <w:trHeight w:val="608"/>
        </w:trPr>
        <w:trPr>
          <w:trHeight w:val="608"/>
        </w:trPr>
        <w:trPr>
          <w:trHeight w:val="608"/>
        </w:trPr>
        <w:trPr>
          <w:trHeight w:val="608"/>
        </w:trPr>
        <w:tc>
          <w:tcPr>
            <w:tcW w:w="3419" w:type="dxa"/>
            <w:vAlign w:val="center"/>
          </w:tcPr>
          <w:tcPr>
            <w:vMerge w:val="restart"/>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科技评估与评价</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承担国家、省、市级科技计划项目的评估评价管理工作</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rPr>
          <w:trHeight w:val="608"/>
        </w:trPr>
        <w:trPr>
          <w:trHeight w:val="608"/>
        </w:trPr>
        <w:trPr>
          <w:trHeight w:val="608"/>
        </w:trPr>
        <w:trPr>
          <w:trHeight w:val="608"/>
        </w:trPr>
        <w:tc>
          <w:tcPr>
            <w:tcW w:w="3419" w:type="dxa"/>
            <w:vAlign w:val="center"/>
          </w:tcPr>
          <w:tcPr>
            <w:vMerge w:val="continue"/>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负责科技计划项目的中期检查、滚动支持、结题验收等工作</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rPr>
          <w:trHeight w:val="608"/>
        </w:trPr>
        <w:trPr>
          <w:trHeight w:val="608"/>
        </w:trPr>
        <w:trPr>
          <w:trHeight w:val="608"/>
        </w:trPr>
        <w:trPr>
          <w:trHeight w:val="608"/>
        </w:trPr>
        <w:tc>
          <w:tcPr>
            <w:tcW w:w="3419" w:type="dxa"/>
            <w:vAlign w:val="center"/>
          </w:tcPr>
          <w:tcPr>
            <w:vMerge w:val="restart"/>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科技情报服务与产业研究</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承担科技咨询服务平台建设与维护工作</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科技文献资源</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rPr>
          <w:trHeight w:val="608"/>
        </w:trPr>
        <w:trPr>
          <w:trHeight w:val="608"/>
        </w:trPr>
        <w:trPr>
          <w:trHeight w:val="608"/>
        </w:trPr>
        <w:trPr>
          <w:trHeight w:val="608"/>
        </w:trPr>
        <w:tc>
          <w:tcPr>
            <w:tcW w:w="3419" w:type="dxa"/>
            <w:vAlign w:val="center"/>
          </w:tcPr>
          <w:tcPr>
            <w:vMerge w:val="continue"/>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负责科技文献资源建设工作</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省工程文献苏州分中心建设</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rPr>
          <w:trHeight w:val="608"/>
        </w:trPr>
        <w:trPr>
          <w:trHeight w:val="608"/>
        </w:trPr>
        <w:trPr>
          <w:trHeight w:val="608"/>
        </w:trPr>
        <w:trPr>
          <w:trHeight w:val="608"/>
        </w:trPr>
        <w:tc>
          <w:tcPr>
            <w:tcW w:w="3419" w:type="dxa"/>
            <w:vAlign w:val="center"/>
          </w:tcPr>
          <w:tcPr>
            <w:vMerge w:val="continue"/>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开展各类科技咨询服务工作</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rPr>
          <w:trHeight w:val="608"/>
        </w:trPr>
        <w:trPr>
          <w:trHeight w:val="608"/>
        </w:trPr>
        <w:trPr>
          <w:trHeight w:val="608"/>
        </w:trPr>
        <w:trPr>
          <w:trHeight w:val="608"/>
        </w:trPr>
        <w:tc>
          <w:tcPr>
            <w:tcW w:w="3419" w:type="dxa"/>
            <w:vAlign w:val="center"/>
          </w:tcPr>
          <w:tcPr>
            <w:vMerge w:val="continue"/>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开展产业分析研究工作</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rPr>
          <w:trHeight w:val="608"/>
        </w:trPr>
        <w:trPr>
          <w:trHeight w:val="608"/>
        </w:trPr>
        <w:trPr>
          <w:trHeight w:val="608"/>
        </w:trPr>
        <w:trPr>
          <w:trHeight w:val="608"/>
        </w:trPr>
        <w:tc>
          <w:tcPr>
            <w:tcW w:w="3419" w:type="dxa"/>
            <w:vAlign w:val="center"/>
          </w:tcPr>
          <w:tcPr>
            <w:vMerge w:val="restart"/>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科技统计与分析</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承担国家、省、市科技统计工作</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rPr>
          <w:trHeight w:val="608"/>
        </w:trPr>
        <w:trPr>
          <w:trHeight w:val="608"/>
        </w:trPr>
        <w:trPr>
          <w:trHeight w:val="608"/>
        </w:trPr>
        <w:trPr>
          <w:trHeight w:val="608"/>
        </w:trPr>
        <w:tc>
          <w:tcPr>
            <w:tcW w:w="3419" w:type="dxa"/>
            <w:vAlign w:val="center"/>
          </w:tcPr>
          <w:tcPr>
            <w:vMerge w:val="continue"/>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负责《苏州市科技统计数据汇编》的编撰工作</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rPr>
          <w:trHeight w:val="608"/>
        </w:trPr>
        <w:trPr>
          <w:trHeight w:val="608"/>
        </w:trPr>
        <w:trPr>
          <w:trHeight w:val="608"/>
        </w:trPr>
        <w:trPr>
          <w:trHeight w:val="608"/>
        </w:trPr>
        <w:tc>
          <w:tcPr>
            <w:tcW w:w="3419" w:type="dxa"/>
            <w:vAlign w:val="center"/>
          </w:tcPr>
          <w:tcPr>
            <w:vMerge w:val="continue"/>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开展科技统计分析研究工作</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rPr>
          <w:trHeight w:val="608"/>
        </w:trPr>
        <w:trPr>
          <w:trHeight w:val="608"/>
        </w:trPr>
        <w:trPr>
          <w:trHeight w:val="608"/>
        </w:trPr>
        <w:trPr>
          <w:trHeight w:val="608"/>
        </w:trPr>
        <w:tc>
          <w:tcPr>
            <w:tcW w:w="3419" w:type="dxa"/>
            <w:vAlign w:val="center"/>
          </w:tcPr>
          <w:tcPr>
            <w:vMerge w:val="restart"/>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科技项目受理与评审</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承担国家、省、市科技项目的申报受理及评审组织工作</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rPr>
          <w:trHeight w:val="608"/>
        </w:trPr>
        <w:trPr>
          <w:trHeight w:val="608"/>
        </w:trPr>
        <w:trPr>
          <w:trHeight w:val="608"/>
        </w:trPr>
        <w:trPr>
          <w:trHeight w:val="608"/>
        </w:trPr>
        <w:tc>
          <w:tcPr>
            <w:tcW w:w="3419" w:type="dxa"/>
            <w:vAlign w:val="center"/>
          </w:tcPr>
          <w:tcPr>
            <w:vMerge w:val="continue"/>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开展实验动物许可管理相关工作</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rPr>
          <w:trHeight w:val="608"/>
        </w:trPr>
        <w:trPr>
          <w:trHeight w:val="608"/>
        </w:trPr>
        <w:trPr>
          <w:trHeight w:val="608"/>
        </w:trPr>
        <w:trPr>
          <w:trHeight w:val="608"/>
        </w:trPr>
        <w:tc>
          <w:tcPr>
            <w:tcW w:w="3419" w:type="dxa"/>
            <w:vAlign w:val="center"/>
          </w:tcPr>
          <w:tcPr>
            <w:vMerge w:val="continue"/>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做好科技专家库维护工作</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rPr>
          <w:trHeight w:val="608"/>
        </w:trPr>
        <w:trPr>
          <w:trHeight w:val="608"/>
        </w:trPr>
        <w:trPr>
          <w:trHeight w:val="608"/>
        </w:trPr>
        <w:trPr>
          <w:trHeight w:val="608"/>
        </w:trPr>
        <w:tc>
          <w:tcPr>
            <w:tcW w:w="3419" w:type="dxa"/>
            <w:vAlign w:val="center"/>
          </w:tcPr>
          <w:tcPr>
            <w:vMerge w:val="restart"/>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科技信息化建设与运维</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负责科技计划项目管理系统的开发、运行、维护和培训工作</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"1、完成专家库、项目查重等开发建设 2、完成项目申报等全流程服务 3、完成苏商通等用户统一认证对接 4、完成人才办、信用办等数据对接 5、完成单位和项目等数据清洗"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rPr>
          <w:trHeight w:val="608"/>
        </w:trPr>
        <w:trPr>
          <w:trHeight w:val="608"/>
        </w:trPr>
        <w:trPr>
          <w:trHeight w:val="608"/>
        </w:trPr>
        <w:trPr>
          <w:trHeight w:val="608"/>
        </w:trPr>
        <w:tc>
          <w:tcPr>
            <w:tcW w:w="3419" w:type="dxa"/>
            <w:vAlign w:val="center"/>
          </w:tcPr>
          <w:tcPr>
            <w:vMerge w:val="continue"/>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负责网络安全及网络运维等工作</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对苏州市科技计划项目管理系统、苏州市双创中心线上服务平台、苏州市科技咨询服务平台、苏州市研发资源共享服务平台、苏州市成果转化平台、苏州市海鸥计划信息平台6个平台开展了等保二级评测工作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rPr>
          <w:trHeight w:val="608"/>
        </w:trPr>
        <w:trPr>
          <w:trHeight w:val="608"/>
        </w:trPr>
        <w:trPr>
          <w:trHeight w:val="608"/>
        </w:trPr>
        <w:trPr>
          <w:trHeight w:val="608"/>
        </w:trPr>
        <w:tc>
          <w:tcPr>
            <w:tcW w:w="3419" w:type="dxa"/>
            <w:vAlign w:val="center"/>
          </w:tcPr>
          <w:tcPr>
            <w:vMerge w:val="continue"/>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负责信息化网络建设及技术支撑等工作</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对安全设备、网络设备、服务器完成了策略配置、存储故障、虚拟化设备迁移管理等维护和故障修复方面的工作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rPr>
          <w:trHeight w:val="608"/>
        </w:trPr>
        <w:trPr>
          <w:trHeight w:val="608"/>
        </w:trPr>
        <w:trPr>
          <w:trHeight w:val="608"/>
        </w:trPr>
        <w:trPr>
          <w:trHeight w:val="608"/>
        </w:trPr>
        <w:tc>
          <w:tcPr>
            <w:tcW w:w="3419" w:type="dxa"/>
            <w:vAlign w:val="center"/>
          </w:tcPr>
          <w:tcPr>
            <w:vMerge w:val="restart"/>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人才项目受理与服务</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做好苏州市领军人才联合会日常管理工作，组织开展人才沙龙、政策咨询、金融对接等服务工作</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rPr>
          <w:trHeight w:val="608"/>
        </w:trPr>
        <w:trPr>
          <w:trHeight w:val="608"/>
        </w:trPr>
        <w:trPr>
          <w:trHeight w:val="608"/>
        </w:trPr>
        <w:trPr>
          <w:trHeight w:val="608"/>
        </w:trPr>
        <w:tc>
          <w:tcPr>
            <w:tcW w:w="3419" w:type="dxa"/>
            <w:vAlign w:val="center"/>
          </w:tcPr>
          <w:tcPr>
            <w:vMerge w:val="continue"/>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协助做好《苏州市高层次人才享受生活待遇暂行办法》等人才政策的咨询工作</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rPr>
          <w:trHeight w:val="608"/>
        </w:trPr>
        <w:trPr>
          <w:trHeight w:val="608"/>
        </w:trPr>
        <w:trPr>
          <w:trHeight w:val="608"/>
        </w:trPr>
        <w:trPr>
          <w:trHeight w:val="608"/>
        </w:trPr>
        <w:tc>
          <w:tcPr>
            <w:tcW w:w="3419" w:type="dxa"/>
            <w:vAlign w:val="center"/>
          </w:tcPr>
          <w:tcPr>
            <w:vMerge w:val="continue"/>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承担国家、省、市各级各类人才项目申报受理及评审组织</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rPr>
          <w:trHeight w:val="608"/>
        </w:trPr>
        <w:trPr>
          <w:trHeight w:val="608"/>
        </w:trPr>
        <w:trPr>
          <w:trHeight w:val="608"/>
        </w:trPr>
        <w:trPr>
          <w:trHeight w:val="608"/>
        </w:trPr>
        <w:tc>
          <w:tcPr>
            <w:tcW w:w="3419" w:type="dxa"/>
            <w:vAlign w:val="center"/>
          </w:tcPr>
          <w:tcPr>
            <w:vMerge w:val="restart"/>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市双创中心建设运营与管理</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承担苏州市双创中心科技招商工作</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苏州市双创中心众创空间运营服务</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rPr>
          <w:trHeight w:val="608"/>
        </w:trPr>
        <w:trPr>
          <w:trHeight w:val="608"/>
        </w:trPr>
        <w:trPr>
          <w:trHeight w:val="608"/>
        </w:trPr>
        <w:trPr>
          <w:trHeight w:val="608"/>
        </w:trPr>
        <w:tc>
          <w:tcPr>
            <w:tcW w:w="3419" w:type="dxa"/>
            <w:vAlign w:val="center"/>
          </w:tcPr>
          <w:tcPr>
            <w:vMerge w:val="continue"/>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开展创新创业服务工作</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苏州市双创中心众创空间运营服务</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rPr>
          <w:trHeight w:val="608"/>
        </w:trPr>
        <w:trPr>
          <w:trHeight w:val="608"/>
        </w:trPr>
        <w:trPr>
          <w:trHeight w:val="608"/>
        </w:trPr>
        <w:trPr>
          <w:trHeight w:val="608"/>
        </w:trPr>
        <w:tc>
          <w:tcPr>
            <w:tcW w:w="3419" w:type="dxa"/>
            <w:vAlign w:val="center"/>
          </w:tcPr>
          <w:tcPr>
            <w:vMerge w:val="continue"/>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承担苏州市双创中心建设与管理工作</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苏州市双创中心物业管理费</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rPr>
          <w:trHeight w:val="608"/>
        </w:trPr>
        <w:trPr>
          <w:trHeight w:val="608"/>
        </w:trPr>
        <w:trPr>
          <w:trHeight w:val="608"/>
        </w:trPr>
        <w:trPr>
          <w:trHeight w:val="608"/>
        </w:trPr>
        <w:tc>
          <w:tcPr>
            <w:tcW w:w="3419" w:type="dxa"/>
            <w:vAlign w:val="center"/>
          </w:tcPr>
          <w:tcPr>
            <w:vMerge w:val="continue"/>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负责苏州市双创中心线上服务平台建设和运维工作</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完成</w:t>
            </w:r>
          </w:p>
        </w:tc>
      </w:tr>
    </w:tbl>
    <w:p>
      <w:pPr>
        <w:numPr>
          <w:ilvl w:val="0"/>
          <w:numId w:val="0"/>
        </w:numPr>
        <w:spacing w:line="360" w:lineRule="auto"/>
        <w:ind w:left="600" w:leftChars="0"/>
        <w:rPr>
          <w:rFonts w:hint="eastAsia" w:ascii="黑体" w:hAnsi="黑体" w:eastAsia="黑体"/>
          <w:sz w:val="30"/>
          <w:lang w:val="en-US" w:eastAsia="zh-CN"/>
        </w:rPr>
      </w:pPr>
    </w:p>
    <w:p>
      <w:pPr>
        <w:numPr>
          <w:ilvl w:val="0"/>
          <w:numId w:val="0"/>
        </w:numPr>
        <w:spacing w:line="360" w:lineRule="auto"/>
        <w:ind w:left="600" w:leftChars="0"/>
        <w:rPr>
          <w:rFonts w:hint="eastAsia" w:ascii="黑体" w:hAnsi="黑体" w:eastAsia="黑体"/>
          <w:sz w:val="30"/>
          <w:lang w:val="en-US" w:eastAsia="zh-CN"/>
        </w:rPr>
      </w:pPr>
    </w:p>
    <w:p>
      <w:pPr>
        <w:numPr>
          <w:ilvl w:val="0"/>
          <w:numId w:val="1"/>
        </w:numPr>
        <w:spacing w:line="360" w:lineRule="auto"/>
        <w:ind w:left="600" w:leftChars="0" w:firstLine="0" w:firstLineChars="0"/>
        <w:rPr>
          <w:rFonts w:hint="default" w:ascii="黑体" w:hAnsi="黑体" w:eastAsia="黑体"/>
          <w:sz w:val="30"/>
          <w:lang w:val="en-US" w:eastAsia="zh-CN"/>
        </w:rPr>
      </w:pPr>
      <w:r>
        <w:rPr>
          <w:rFonts w:hint="eastAsia" w:ascii="黑体" w:hAnsi="黑体" w:eastAsia="黑体"/>
          <w:sz w:val="30"/>
          <w:lang w:val="en-US" w:eastAsia="zh-CN"/>
        </w:rPr>
        <w:t>部门整体自评表</w:t>
      </w:r>
    </w:p>
    <w:tbl>
      <w:tblPr>
        <w:tblStyle w:val="5"/>
        <w:tblpPr w:leftFromText="180" w:rightFromText="180" w:vertAnchor="text" w:horzAnchor="page" w:tblpX="1656" w:tblpY="127"/>
        <w:tblOverlap w:val="never"/>
        <w:tblW w:w="146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2051"/>
        <w:gridCol w:w="2061"/>
        <w:gridCol w:w="1987"/>
        <w:gridCol w:w="1799"/>
        <w:gridCol w:w="1866"/>
        <w:gridCol w:w="1787"/>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067" w:type="dxa"/>
            <w:shd w:val="clear" w:color="000000" w:fill="BFBFBF"/>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
            </w:r>
          </w:p>
        </w:tc>
        <w:tc>
          <w:tcPr>
            <w:tcW w:w="2051" w:type="dxa"/>
            <w:shd w:val="clear" w:color="000000" w:fill="BFBFBF"/>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sz w:val="24"/>
                <w:szCs w:val="24"/>
                <w:vertAlign w:val="baseline"/>
                <w:lang w:val="en-US" w:eastAsia="zh-CN"/>
              </w:rPr>
              <w:t>类别</w:t>
            </w:r>
          </w:p>
        </w:tc>
        <w:tc>
          <w:tcPr>
            <w:tcW w:w="2061" w:type="dxa"/>
            <w:shd w:val="clear" w:color="000000" w:fill="BFBFBF"/>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sz w:val="24"/>
                <w:szCs w:val="24"/>
                <w:vertAlign w:val="baseline"/>
                <w:lang w:val="en-US" w:eastAsia="zh-CN"/>
              </w:rPr>
              <w:t>指标名称</w:t>
            </w:r>
          </w:p>
        </w:tc>
        <w:tc>
          <w:tcPr>
            <w:tcW w:w="1987" w:type="dxa"/>
            <w:shd w:val="clear" w:color="000000" w:fill="BFBFBF"/>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sz w:val="24"/>
                <w:szCs w:val="24"/>
                <w:vertAlign w:val="baseline"/>
                <w:lang w:val="en-US" w:eastAsia="zh-CN"/>
              </w:rPr>
              <w:t>指标目标值</w:t>
            </w:r>
          </w:p>
        </w:tc>
        <w:tc>
          <w:tcPr>
            <w:tcW w:w="1799" w:type="dxa"/>
            <w:shd w:val="clear" w:color="000000" w:fill="BFBFBF"/>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sz w:val="24"/>
                <w:szCs w:val="24"/>
                <w:vertAlign w:val="baseline"/>
                <w:lang w:val="en-US" w:eastAsia="zh-CN"/>
              </w:rPr>
              <w:t>指标完成值</w:t>
            </w:r>
          </w:p>
        </w:tc>
        <w:tc>
          <w:tcPr>
            <w:tcW w:w="1866" w:type="dxa"/>
            <w:shd w:val="clear" w:color="000000" w:fill="BFBFBF"/>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sz w:val="24"/>
                <w:szCs w:val="24"/>
                <w:vertAlign w:val="baseline"/>
                <w:lang w:val="en-US" w:eastAsia="zh-CN"/>
              </w:rPr>
              <w:t>完成值来源</w:t>
            </w:r>
          </w:p>
        </w:tc>
        <w:tc>
          <w:tcPr>
            <w:tcW w:w="1787" w:type="dxa"/>
            <w:shd w:val="clear" w:color="000000" w:fill="BFBFBF"/>
            <w:vAlign w:val="center"/>
          </w:tcPr>
          <w:p>
            <w:pPr>
              <w:widowControl/>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偏差情况</w:t>
            </w:r>
          </w:p>
        </w:tc>
        <w:tc>
          <w:tcPr>
            <w:tcW w:w="1071" w:type="dxa"/>
            <w:shd w:val="clear" w:color="000000" w:fill="BFBFBF"/>
          </w:tcPr>
          <w:p>
            <w:pPr>
              <w:widowControl/>
              <w:jc w:val="center"/>
              <w:rPr>
                <w:rFonts w:hint="default" w:ascii="黑体" w:hAnsi="黑体" w:eastAsia="黑体"/>
                <w:sz w:val="30"/>
                <w:vertAlign w:val="baseline"/>
                <w:lang w:val="en-US" w:eastAsia="zh-CN"/>
              </w:rPr>
            </w:pPr>
            <w:r>
              <w:rPr>
                <w:rFonts w:hint="eastAsia" w:ascii="宋体" w:hAnsi="宋体" w:eastAsia="宋体" w:cs="宋体"/>
                <w:b/>
                <w:bCs/>
                <w:sz w:val="24"/>
                <w:szCs w:val="24"/>
                <w:vertAlign w:val="baseline"/>
                <w:lang w:val="en-US" w:eastAsia="zh-CN"/>
              </w:rPr>
              <w:t>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restart"/>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分解目标</w:t>
            </w:r>
          </w:p>
        </w:tc>
        <w:tc>
          <w:tcPr>
            <w:tcW w:w="2051" w:type="dxa"/>
            <w:vAlign w:val="center"/>
          </w:tcPr>
          <w:tcPr>
            <w:vMerge w:val="restart"/>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决策</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工作计划制定健全性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中长期规划制定健全性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绩效指标明确性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明确</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明确</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绩效目标合理性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合理</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合理</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预算编制规范性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规范</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规范</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预算编制科学性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科学</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科学</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restart"/>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过程</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基础信息完善性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完善</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完善</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绩效管理覆盖率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非税收入管理合规性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合规</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合规</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预决算信息公开度</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公开</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公开</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预算管理制度健全性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资金使用合规性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合规</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合规</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资产管理制度健全性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固定资产利用率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资产管理规范性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规范</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规范</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项目管理制度执行规范性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规范</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规范</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项目管理制度健全性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人员管理制度执行有效性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有效</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有效</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人员管理制度健全性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在职人员控制率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业务学习与培训及时完成率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组织建设工作及时完成率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纪检监察工作有效性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有效</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有效</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公用经费控制率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&lt;=100%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预算调整率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10.36%</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新进人员的增人增资和社保追加，休假补贴和绩效追加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支付进度符合率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预算执行率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95.09%</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-4.91%</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因疫情影响，公用经费开支节约，统筹医疗补助结余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非税收入预算完成率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政府采购执行率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结转结余率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“三公经费”变动率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restart"/>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效益</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构建有利于企业创新发展的良好信息环境</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较显著</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较显著</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保障科技政策的有效落实</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较显著</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较显著</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营造创新创业的良好氛围</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较显著</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较显著</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满意度</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科技创新主体满意度</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&gt;=90%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90%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restart"/>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履职</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引进并孵化创新创业项目</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&gt;=30个</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30个</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数据更新量</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&gt;=100000条</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100000条</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文献下载</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&gt;=2000篇</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2000篇</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开展情报咨询服务</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=500项</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500项</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产业研究报告</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=6篇</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6篇</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系统正常使用天数</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=1年</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1年</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网络故障时长</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=0小时</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0小时</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苏州市双创中心线上服务平台功能建设</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有序推进</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有序推进</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重大网络安全事故数</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=0个</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0个</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受理、评估项目数量</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&gt;=15000项</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12880项</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-14.13%</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2022年市级高企培育库不再新入库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开展科技计划项目的中期检查、滚动支持、结题验收等工作</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有序推进</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有序推进</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消监控系统完好率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专业化服务</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&gt;=25次</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25次</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人才各类政策解答服务家次</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&gt;=1000家次</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1000家次</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组织各类沙龙、对接、讲座等活动场次</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=12场</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12场</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国家、省、市科技项目的申报受理、形式审查、评审组织、合同管理等工作</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有序推进</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有序推进</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各类人才项目受理数</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&gt;=1200项</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1200项</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苏州市双创中心线上服务平台正常使用天数</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=1年</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1年</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实验动物生产及使用许可证的申报、年检相关工作</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有序推进</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有序推进</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国家、省、市各类科技统计的组织实施、数据审核及汇总</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有序推进</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有序推进</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编撰完成《2021年度苏州市科技统计数据汇编》</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开展科技统计数据挖掘利用及相关分析</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=2项</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2项</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文献下载量</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&gt;=50000条</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50000条</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组织姑苏领军人才项目评审批次数</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=2批次</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2批次</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安家补贴统计调研服务覆盖人次数</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&gt;=400人次</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400人次</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服务市领军人才联合会会员企业家次</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&gt;=800家次</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800家次</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科技专家库维护</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有序推进</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有序推进</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服务期限</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=1年</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1年</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公共设施设备维护保养完好率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物业服务完成及时性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&lt;=1天</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1天</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卫生保洁及时率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&gt;=90%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90%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引进创投机构或天使基金</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&gt;=2个</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2个</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综合服务</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&gt;=500人次</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500人次</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rPr>
          <w:trHeight w:val="540"/>
        </w:trPr>
        <w:trPr>
          <w:trHeight w:val="540"/>
        </w:trPr>
        <w:trPr>
          <w:trHeight w:val="540"/>
        </w:trPr>
        <w:trPr>
          <w:trHeight w:val="540"/>
        </w:trPr>
        <w:trPr>
          <w:trHeight w:val="540"/>
        </w:trPr>
        <w:trPr>
          <w:trHeight w:val="540"/>
        </w:trPr>
        <w:trPr>
          <w:trHeight w:val="540"/>
        </w:trPr>
        <w:trPr>
          <w:trHeight w:val="540"/>
        </w:trPr>
        <w:tc>
          <w:tcPr>
            <w:tcW w:w="2067"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51" w:type="dxa"/>
            <w:vAlign w:val="center"/>
          </w:tcPr>
          <w:tcPr>
            <w:vMerge w:val="continue"/>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开展创业沙龙、项目路演、创业大赛、双创教育培训等活动</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=15场次</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15场次</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根据上年完成情况统计得出</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
            </w:r>
          </w:p>
        </w:tc>
      </w:tr>
    </w:tbl>
    <w:p>
      <w:pPr>
        <w:numPr>
          <w:ilvl w:val="0"/>
          <w:numId w:val="0"/>
        </w:numPr>
        <w:spacing w:line="360" w:lineRule="auto"/>
        <w:ind w:left="600" w:leftChars="0"/>
        <w:rPr>
          <w:rFonts w:hint="default" w:ascii="黑体" w:hAnsi="黑体" w:eastAsia="黑体"/>
          <w:sz w:val="30"/>
          <w:lang w:val="en-US" w:eastAsia="zh-CN"/>
        </w:rPr>
      </w:pPr>
      <w:bookmarkStart w:id="0" w:name="_GoBack"/>
      <w:bookmarkEnd w:id="0"/>
    </w:p>
    <w:sectPr>
      <w:headerReference r:id="rId7" w:type="default"/>
      <w:footerReference r:id="rId8" w:type="default"/>
      <w:pgSz w:w="16840" w:h="11907" w:orient="landscape"/>
      <w:pgMar w:top="1559" w:right="1247" w:bottom="1400" w:left="1089" w:header="851" w:footer="992" w:gutter="0"/>
      <w:paperSrc w:first="15" w:other="15"/>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7BB9F1"/>
    <w:multiLevelType w:val="singleLevel"/>
    <w:tmpl w:val="5D7BB9F1"/>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I2ZWIxNzBhOWM3YmNkMjVjMWZjMWQ2NzA4MDFlZmYifQ=="/>
  </w:docVars>
  <w:rsids>
    <w:rsidRoot w:val="00063C33"/>
    <w:rsid w:val="00000AE5"/>
    <w:rsid w:val="0000149B"/>
    <w:rsid w:val="00003466"/>
    <w:rsid w:val="00005172"/>
    <w:rsid w:val="000100EA"/>
    <w:rsid w:val="000174EF"/>
    <w:rsid w:val="00017B0A"/>
    <w:rsid w:val="00023671"/>
    <w:rsid w:val="00026029"/>
    <w:rsid w:val="000264BF"/>
    <w:rsid w:val="00037A63"/>
    <w:rsid w:val="00040CA6"/>
    <w:rsid w:val="00043B48"/>
    <w:rsid w:val="00052BE5"/>
    <w:rsid w:val="00060137"/>
    <w:rsid w:val="00063750"/>
    <w:rsid w:val="00063C33"/>
    <w:rsid w:val="00063D5B"/>
    <w:rsid w:val="00065156"/>
    <w:rsid w:val="00065B29"/>
    <w:rsid w:val="00067138"/>
    <w:rsid w:val="0006750F"/>
    <w:rsid w:val="000744C4"/>
    <w:rsid w:val="00075453"/>
    <w:rsid w:val="00075D05"/>
    <w:rsid w:val="000822BA"/>
    <w:rsid w:val="000824B9"/>
    <w:rsid w:val="00083E7F"/>
    <w:rsid w:val="000903A9"/>
    <w:rsid w:val="00090A12"/>
    <w:rsid w:val="00091DCD"/>
    <w:rsid w:val="000920AE"/>
    <w:rsid w:val="00096524"/>
    <w:rsid w:val="000A413D"/>
    <w:rsid w:val="000A5944"/>
    <w:rsid w:val="000B00C1"/>
    <w:rsid w:val="000B1FE0"/>
    <w:rsid w:val="000B2275"/>
    <w:rsid w:val="000B2CE5"/>
    <w:rsid w:val="000B5A1C"/>
    <w:rsid w:val="000B7645"/>
    <w:rsid w:val="000C44B7"/>
    <w:rsid w:val="000E5B04"/>
    <w:rsid w:val="000E69D0"/>
    <w:rsid w:val="000E7FBE"/>
    <w:rsid w:val="000F10A1"/>
    <w:rsid w:val="000F2CE9"/>
    <w:rsid w:val="000F5BD7"/>
    <w:rsid w:val="000F6964"/>
    <w:rsid w:val="00100A3B"/>
    <w:rsid w:val="001014B4"/>
    <w:rsid w:val="00104DFE"/>
    <w:rsid w:val="00106E72"/>
    <w:rsid w:val="00113289"/>
    <w:rsid w:val="00113D04"/>
    <w:rsid w:val="00113E8E"/>
    <w:rsid w:val="0011541B"/>
    <w:rsid w:val="0012134D"/>
    <w:rsid w:val="001220BE"/>
    <w:rsid w:val="00125CF2"/>
    <w:rsid w:val="00126E12"/>
    <w:rsid w:val="00130587"/>
    <w:rsid w:val="00130A6B"/>
    <w:rsid w:val="00131B00"/>
    <w:rsid w:val="00132D88"/>
    <w:rsid w:val="00133A9B"/>
    <w:rsid w:val="0013429F"/>
    <w:rsid w:val="001410F0"/>
    <w:rsid w:val="001420CF"/>
    <w:rsid w:val="00143A75"/>
    <w:rsid w:val="00143BA3"/>
    <w:rsid w:val="0014417A"/>
    <w:rsid w:val="001451E1"/>
    <w:rsid w:val="00147FEA"/>
    <w:rsid w:val="0015165E"/>
    <w:rsid w:val="00155CA1"/>
    <w:rsid w:val="001612E1"/>
    <w:rsid w:val="00164523"/>
    <w:rsid w:val="00165B5D"/>
    <w:rsid w:val="001662B4"/>
    <w:rsid w:val="0017063E"/>
    <w:rsid w:val="00177F82"/>
    <w:rsid w:val="001808D8"/>
    <w:rsid w:val="0018270E"/>
    <w:rsid w:val="00182B89"/>
    <w:rsid w:val="00182FC9"/>
    <w:rsid w:val="00190510"/>
    <w:rsid w:val="001A0AFE"/>
    <w:rsid w:val="001A1132"/>
    <w:rsid w:val="001B04B5"/>
    <w:rsid w:val="001B5269"/>
    <w:rsid w:val="001B7A52"/>
    <w:rsid w:val="001C0B83"/>
    <w:rsid w:val="001C31AD"/>
    <w:rsid w:val="001C4669"/>
    <w:rsid w:val="001C64FE"/>
    <w:rsid w:val="001C7FFB"/>
    <w:rsid w:val="001D03A1"/>
    <w:rsid w:val="001D2206"/>
    <w:rsid w:val="001D31D8"/>
    <w:rsid w:val="001D41B6"/>
    <w:rsid w:val="001D785B"/>
    <w:rsid w:val="001D7F4F"/>
    <w:rsid w:val="001E09A5"/>
    <w:rsid w:val="001E11AE"/>
    <w:rsid w:val="001E387E"/>
    <w:rsid w:val="001E4826"/>
    <w:rsid w:val="001E55E3"/>
    <w:rsid w:val="001F0EC7"/>
    <w:rsid w:val="001F1C88"/>
    <w:rsid w:val="001F2939"/>
    <w:rsid w:val="001F3B30"/>
    <w:rsid w:val="001F3BCB"/>
    <w:rsid w:val="00200D3F"/>
    <w:rsid w:val="0020308A"/>
    <w:rsid w:val="00204221"/>
    <w:rsid w:val="00206133"/>
    <w:rsid w:val="00213BC8"/>
    <w:rsid w:val="00216350"/>
    <w:rsid w:val="002166D3"/>
    <w:rsid w:val="00216F1E"/>
    <w:rsid w:val="00217E52"/>
    <w:rsid w:val="00222156"/>
    <w:rsid w:val="00223CA3"/>
    <w:rsid w:val="00227A2B"/>
    <w:rsid w:val="0023035D"/>
    <w:rsid w:val="002340B0"/>
    <w:rsid w:val="00234E4B"/>
    <w:rsid w:val="0023634E"/>
    <w:rsid w:val="002408C3"/>
    <w:rsid w:val="0024113F"/>
    <w:rsid w:val="00244426"/>
    <w:rsid w:val="0024746E"/>
    <w:rsid w:val="0025051E"/>
    <w:rsid w:val="00252592"/>
    <w:rsid w:val="00253D90"/>
    <w:rsid w:val="0025423D"/>
    <w:rsid w:val="00254F9A"/>
    <w:rsid w:val="00257BC2"/>
    <w:rsid w:val="00261488"/>
    <w:rsid w:val="00264AA2"/>
    <w:rsid w:val="00265B16"/>
    <w:rsid w:val="00265DA5"/>
    <w:rsid w:val="002673D0"/>
    <w:rsid w:val="002716BD"/>
    <w:rsid w:val="00273D49"/>
    <w:rsid w:val="00283319"/>
    <w:rsid w:val="00285317"/>
    <w:rsid w:val="0028539D"/>
    <w:rsid w:val="00286629"/>
    <w:rsid w:val="00286702"/>
    <w:rsid w:val="00286D47"/>
    <w:rsid w:val="002900B4"/>
    <w:rsid w:val="00291982"/>
    <w:rsid w:val="00294622"/>
    <w:rsid w:val="002A1D40"/>
    <w:rsid w:val="002A520E"/>
    <w:rsid w:val="002A71E9"/>
    <w:rsid w:val="002A740D"/>
    <w:rsid w:val="002B3130"/>
    <w:rsid w:val="002B46D0"/>
    <w:rsid w:val="002B4938"/>
    <w:rsid w:val="002B4C42"/>
    <w:rsid w:val="002B5C95"/>
    <w:rsid w:val="002B7826"/>
    <w:rsid w:val="002B7DA5"/>
    <w:rsid w:val="002C14BC"/>
    <w:rsid w:val="002C40C2"/>
    <w:rsid w:val="002C50BE"/>
    <w:rsid w:val="002C58CE"/>
    <w:rsid w:val="002C6932"/>
    <w:rsid w:val="002D37C3"/>
    <w:rsid w:val="002D39F6"/>
    <w:rsid w:val="002E02D4"/>
    <w:rsid w:val="002E3E46"/>
    <w:rsid w:val="002E6262"/>
    <w:rsid w:val="002F2F89"/>
    <w:rsid w:val="002F3573"/>
    <w:rsid w:val="002F79DA"/>
    <w:rsid w:val="003023BE"/>
    <w:rsid w:val="003047D9"/>
    <w:rsid w:val="00304E50"/>
    <w:rsid w:val="0031251A"/>
    <w:rsid w:val="00313B31"/>
    <w:rsid w:val="00313C95"/>
    <w:rsid w:val="00314B04"/>
    <w:rsid w:val="003205DD"/>
    <w:rsid w:val="003212A4"/>
    <w:rsid w:val="00321645"/>
    <w:rsid w:val="003224A9"/>
    <w:rsid w:val="00323407"/>
    <w:rsid w:val="00324653"/>
    <w:rsid w:val="00325446"/>
    <w:rsid w:val="003255FE"/>
    <w:rsid w:val="00327EE2"/>
    <w:rsid w:val="00330CB3"/>
    <w:rsid w:val="00332C74"/>
    <w:rsid w:val="00335FCC"/>
    <w:rsid w:val="00336C7D"/>
    <w:rsid w:val="00342E62"/>
    <w:rsid w:val="00343C7E"/>
    <w:rsid w:val="0034643F"/>
    <w:rsid w:val="00346D0D"/>
    <w:rsid w:val="00350DCA"/>
    <w:rsid w:val="00350EF3"/>
    <w:rsid w:val="00351E9C"/>
    <w:rsid w:val="00353E46"/>
    <w:rsid w:val="00354DA3"/>
    <w:rsid w:val="0035535B"/>
    <w:rsid w:val="003557CD"/>
    <w:rsid w:val="00355802"/>
    <w:rsid w:val="00362F2E"/>
    <w:rsid w:val="00365C54"/>
    <w:rsid w:val="003700B6"/>
    <w:rsid w:val="00370935"/>
    <w:rsid w:val="00371DB2"/>
    <w:rsid w:val="003729B0"/>
    <w:rsid w:val="00373041"/>
    <w:rsid w:val="003753A8"/>
    <w:rsid w:val="003831C1"/>
    <w:rsid w:val="00393CB1"/>
    <w:rsid w:val="003A5262"/>
    <w:rsid w:val="003B2F39"/>
    <w:rsid w:val="003B3410"/>
    <w:rsid w:val="003B36E9"/>
    <w:rsid w:val="003B6092"/>
    <w:rsid w:val="003C042E"/>
    <w:rsid w:val="003C06AC"/>
    <w:rsid w:val="003C1186"/>
    <w:rsid w:val="003C391B"/>
    <w:rsid w:val="003C4D46"/>
    <w:rsid w:val="003D01B1"/>
    <w:rsid w:val="003D0B70"/>
    <w:rsid w:val="003D72AD"/>
    <w:rsid w:val="003D7F91"/>
    <w:rsid w:val="003E2A48"/>
    <w:rsid w:val="003E2F63"/>
    <w:rsid w:val="003E65CC"/>
    <w:rsid w:val="003E6D22"/>
    <w:rsid w:val="003F2293"/>
    <w:rsid w:val="00400243"/>
    <w:rsid w:val="00405CA6"/>
    <w:rsid w:val="00410C77"/>
    <w:rsid w:val="00411D37"/>
    <w:rsid w:val="00424485"/>
    <w:rsid w:val="004257E1"/>
    <w:rsid w:val="00425AA3"/>
    <w:rsid w:val="004305C8"/>
    <w:rsid w:val="0043312C"/>
    <w:rsid w:val="00436533"/>
    <w:rsid w:val="00436EC1"/>
    <w:rsid w:val="004403E7"/>
    <w:rsid w:val="004423E2"/>
    <w:rsid w:val="00445706"/>
    <w:rsid w:val="0045004A"/>
    <w:rsid w:val="004545F2"/>
    <w:rsid w:val="00454BDA"/>
    <w:rsid w:val="00457C9A"/>
    <w:rsid w:val="004611B1"/>
    <w:rsid w:val="0046258B"/>
    <w:rsid w:val="00466701"/>
    <w:rsid w:val="00471F88"/>
    <w:rsid w:val="00473304"/>
    <w:rsid w:val="00475B06"/>
    <w:rsid w:val="00476840"/>
    <w:rsid w:val="0048152F"/>
    <w:rsid w:val="0048585A"/>
    <w:rsid w:val="0048750F"/>
    <w:rsid w:val="0049066C"/>
    <w:rsid w:val="004912EF"/>
    <w:rsid w:val="004974D1"/>
    <w:rsid w:val="004A1580"/>
    <w:rsid w:val="004A19DD"/>
    <w:rsid w:val="004B0052"/>
    <w:rsid w:val="004B44B5"/>
    <w:rsid w:val="004C13D9"/>
    <w:rsid w:val="004C156B"/>
    <w:rsid w:val="004C1CE2"/>
    <w:rsid w:val="004C51FC"/>
    <w:rsid w:val="004C5BAD"/>
    <w:rsid w:val="004D5319"/>
    <w:rsid w:val="004D797B"/>
    <w:rsid w:val="004E0982"/>
    <w:rsid w:val="004E1DF7"/>
    <w:rsid w:val="004E2D60"/>
    <w:rsid w:val="004E2E62"/>
    <w:rsid w:val="004E3248"/>
    <w:rsid w:val="004E5392"/>
    <w:rsid w:val="004E73A7"/>
    <w:rsid w:val="004F030E"/>
    <w:rsid w:val="004F2DA8"/>
    <w:rsid w:val="004F4FE5"/>
    <w:rsid w:val="004F6112"/>
    <w:rsid w:val="004F6658"/>
    <w:rsid w:val="004F6BFF"/>
    <w:rsid w:val="004F71AE"/>
    <w:rsid w:val="00501E97"/>
    <w:rsid w:val="005038C9"/>
    <w:rsid w:val="00506E8C"/>
    <w:rsid w:val="00506FCF"/>
    <w:rsid w:val="0051294C"/>
    <w:rsid w:val="00512A8D"/>
    <w:rsid w:val="00521013"/>
    <w:rsid w:val="00526943"/>
    <w:rsid w:val="005314A7"/>
    <w:rsid w:val="00532870"/>
    <w:rsid w:val="005428EE"/>
    <w:rsid w:val="00543724"/>
    <w:rsid w:val="0054645B"/>
    <w:rsid w:val="00552B33"/>
    <w:rsid w:val="00553660"/>
    <w:rsid w:val="00553EB2"/>
    <w:rsid w:val="00556E4F"/>
    <w:rsid w:val="00560776"/>
    <w:rsid w:val="00560AFC"/>
    <w:rsid w:val="00560EAF"/>
    <w:rsid w:val="005619A3"/>
    <w:rsid w:val="00562503"/>
    <w:rsid w:val="0056664B"/>
    <w:rsid w:val="00567693"/>
    <w:rsid w:val="00570911"/>
    <w:rsid w:val="005723D7"/>
    <w:rsid w:val="005755EB"/>
    <w:rsid w:val="005757F7"/>
    <w:rsid w:val="0058037E"/>
    <w:rsid w:val="00581411"/>
    <w:rsid w:val="005817F6"/>
    <w:rsid w:val="00593238"/>
    <w:rsid w:val="00597885"/>
    <w:rsid w:val="005A0674"/>
    <w:rsid w:val="005A3838"/>
    <w:rsid w:val="005A3AA9"/>
    <w:rsid w:val="005A3AE6"/>
    <w:rsid w:val="005A3EAE"/>
    <w:rsid w:val="005A4A49"/>
    <w:rsid w:val="005A71F3"/>
    <w:rsid w:val="005A7726"/>
    <w:rsid w:val="005A77D3"/>
    <w:rsid w:val="005B0AE0"/>
    <w:rsid w:val="005B2146"/>
    <w:rsid w:val="005B2738"/>
    <w:rsid w:val="005B2C2E"/>
    <w:rsid w:val="005B3560"/>
    <w:rsid w:val="005B48B6"/>
    <w:rsid w:val="005B4B41"/>
    <w:rsid w:val="005B529F"/>
    <w:rsid w:val="005B612C"/>
    <w:rsid w:val="005B6B32"/>
    <w:rsid w:val="005B77DD"/>
    <w:rsid w:val="005C09F8"/>
    <w:rsid w:val="005C1A18"/>
    <w:rsid w:val="005C1BD8"/>
    <w:rsid w:val="005C2E63"/>
    <w:rsid w:val="005C5E8E"/>
    <w:rsid w:val="005C65E4"/>
    <w:rsid w:val="005D11F6"/>
    <w:rsid w:val="005D1D0B"/>
    <w:rsid w:val="005D72E3"/>
    <w:rsid w:val="005E0E7F"/>
    <w:rsid w:val="005E5A79"/>
    <w:rsid w:val="005F1482"/>
    <w:rsid w:val="005F1E3B"/>
    <w:rsid w:val="0060449D"/>
    <w:rsid w:val="00610F23"/>
    <w:rsid w:val="00613019"/>
    <w:rsid w:val="00621622"/>
    <w:rsid w:val="006226C5"/>
    <w:rsid w:val="00622FB6"/>
    <w:rsid w:val="0062351F"/>
    <w:rsid w:val="00625CE4"/>
    <w:rsid w:val="00631623"/>
    <w:rsid w:val="006316FF"/>
    <w:rsid w:val="00633F34"/>
    <w:rsid w:val="006346F2"/>
    <w:rsid w:val="00642FA5"/>
    <w:rsid w:val="00643E54"/>
    <w:rsid w:val="006520DA"/>
    <w:rsid w:val="00652414"/>
    <w:rsid w:val="0066087C"/>
    <w:rsid w:val="00665D96"/>
    <w:rsid w:val="00672C67"/>
    <w:rsid w:val="006733B9"/>
    <w:rsid w:val="006777F4"/>
    <w:rsid w:val="00680C37"/>
    <w:rsid w:val="0068235A"/>
    <w:rsid w:val="00691F14"/>
    <w:rsid w:val="00695B4B"/>
    <w:rsid w:val="006A242C"/>
    <w:rsid w:val="006A3E01"/>
    <w:rsid w:val="006A4842"/>
    <w:rsid w:val="006A5F11"/>
    <w:rsid w:val="006B46FE"/>
    <w:rsid w:val="006B5B10"/>
    <w:rsid w:val="006C0BED"/>
    <w:rsid w:val="006C1512"/>
    <w:rsid w:val="006C5E14"/>
    <w:rsid w:val="006E199D"/>
    <w:rsid w:val="006E2154"/>
    <w:rsid w:val="006E526F"/>
    <w:rsid w:val="006F2F60"/>
    <w:rsid w:val="006F4261"/>
    <w:rsid w:val="006F5BB5"/>
    <w:rsid w:val="006F63F7"/>
    <w:rsid w:val="006F7720"/>
    <w:rsid w:val="00700D51"/>
    <w:rsid w:val="00701E4E"/>
    <w:rsid w:val="00703AAD"/>
    <w:rsid w:val="00704126"/>
    <w:rsid w:val="00704DC6"/>
    <w:rsid w:val="00706525"/>
    <w:rsid w:val="00707621"/>
    <w:rsid w:val="007171E1"/>
    <w:rsid w:val="00717422"/>
    <w:rsid w:val="00722137"/>
    <w:rsid w:val="00723710"/>
    <w:rsid w:val="00733427"/>
    <w:rsid w:val="00735573"/>
    <w:rsid w:val="00737F68"/>
    <w:rsid w:val="007424E1"/>
    <w:rsid w:val="00742D87"/>
    <w:rsid w:val="00751DC9"/>
    <w:rsid w:val="0075565C"/>
    <w:rsid w:val="007605DC"/>
    <w:rsid w:val="00761F62"/>
    <w:rsid w:val="00762C18"/>
    <w:rsid w:val="00766FB7"/>
    <w:rsid w:val="00772348"/>
    <w:rsid w:val="00772510"/>
    <w:rsid w:val="00773A1D"/>
    <w:rsid w:val="00773F42"/>
    <w:rsid w:val="00774264"/>
    <w:rsid w:val="00775445"/>
    <w:rsid w:val="00780EE2"/>
    <w:rsid w:val="007840FE"/>
    <w:rsid w:val="00784F8B"/>
    <w:rsid w:val="007871EE"/>
    <w:rsid w:val="00793E08"/>
    <w:rsid w:val="00794A76"/>
    <w:rsid w:val="00795D56"/>
    <w:rsid w:val="007962F0"/>
    <w:rsid w:val="00797D92"/>
    <w:rsid w:val="007A0919"/>
    <w:rsid w:val="007A097F"/>
    <w:rsid w:val="007A4200"/>
    <w:rsid w:val="007B3DD4"/>
    <w:rsid w:val="007B5103"/>
    <w:rsid w:val="007B61B8"/>
    <w:rsid w:val="007B6A00"/>
    <w:rsid w:val="007C0D3D"/>
    <w:rsid w:val="007C31AE"/>
    <w:rsid w:val="007C36CD"/>
    <w:rsid w:val="007C3C87"/>
    <w:rsid w:val="007C3D16"/>
    <w:rsid w:val="007C47E4"/>
    <w:rsid w:val="007C4FF4"/>
    <w:rsid w:val="007D2436"/>
    <w:rsid w:val="007D2B3D"/>
    <w:rsid w:val="007D444F"/>
    <w:rsid w:val="007D4E58"/>
    <w:rsid w:val="007D56C8"/>
    <w:rsid w:val="007D7F00"/>
    <w:rsid w:val="007E1CCC"/>
    <w:rsid w:val="007E459A"/>
    <w:rsid w:val="007E4929"/>
    <w:rsid w:val="007E720E"/>
    <w:rsid w:val="007E72F0"/>
    <w:rsid w:val="007F009F"/>
    <w:rsid w:val="007F0BF3"/>
    <w:rsid w:val="007F0D47"/>
    <w:rsid w:val="007F2B03"/>
    <w:rsid w:val="007F33BC"/>
    <w:rsid w:val="007F6C9D"/>
    <w:rsid w:val="00800BE6"/>
    <w:rsid w:val="0080256D"/>
    <w:rsid w:val="00802E22"/>
    <w:rsid w:val="00812702"/>
    <w:rsid w:val="0081659F"/>
    <w:rsid w:val="008165F1"/>
    <w:rsid w:val="008235B6"/>
    <w:rsid w:val="008329A5"/>
    <w:rsid w:val="00832C53"/>
    <w:rsid w:val="008353A0"/>
    <w:rsid w:val="00846B19"/>
    <w:rsid w:val="008509A5"/>
    <w:rsid w:val="008521F8"/>
    <w:rsid w:val="00852E79"/>
    <w:rsid w:val="008550E4"/>
    <w:rsid w:val="00855CA7"/>
    <w:rsid w:val="00855F3C"/>
    <w:rsid w:val="00857998"/>
    <w:rsid w:val="00862373"/>
    <w:rsid w:val="008702C7"/>
    <w:rsid w:val="008814B7"/>
    <w:rsid w:val="00882EDF"/>
    <w:rsid w:val="008855D8"/>
    <w:rsid w:val="00885B43"/>
    <w:rsid w:val="00885EDD"/>
    <w:rsid w:val="00891909"/>
    <w:rsid w:val="0089196E"/>
    <w:rsid w:val="00894546"/>
    <w:rsid w:val="008956AE"/>
    <w:rsid w:val="008962B9"/>
    <w:rsid w:val="008B27AB"/>
    <w:rsid w:val="008B474A"/>
    <w:rsid w:val="008B4752"/>
    <w:rsid w:val="008C0F7F"/>
    <w:rsid w:val="008C19A0"/>
    <w:rsid w:val="008C5F52"/>
    <w:rsid w:val="008D1294"/>
    <w:rsid w:val="008D4748"/>
    <w:rsid w:val="008D493B"/>
    <w:rsid w:val="008E15CC"/>
    <w:rsid w:val="008E5F67"/>
    <w:rsid w:val="008E7EF2"/>
    <w:rsid w:val="008F0D75"/>
    <w:rsid w:val="00912649"/>
    <w:rsid w:val="009141CE"/>
    <w:rsid w:val="00914978"/>
    <w:rsid w:val="0092032F"/>
    <w:rsid w:val="00921CBB"/>
    <w:rsid w:val="009220F6"/>
    <w:rsid w:val="00923540"/>
    <w:rsid w:val="009238C5"/>
    <w:rsid w:val="00926CE3"/>
    <w:rsid w:val="00927493"/>
    <w:rsid w:val="00930153"/>
    <w:rsid w:val="00936842"/>
    <w:rsid w:val="00944770"/>
    <w:rsid w:val="00950C79"/>
    <w:rsid w:val="00952E84"/>
    <w:rsid w:val="00952F21"/>
    <w:rsid w:val="00954DE5"/>
    <w:rsid w:val="00956D46"/>
    <w:rsid w:val="00957FE6"/>
    <w:rsid w:val="00961F56"/>
    <w:rsid w:val="00973D9E"/>
    <w:rsid w:val="00973DF8"/>
    <w:rsid w:val="00975B93"/>
    <w:rsid w:val="009803F9"/>
    <w:rsid w:val="00981623"/>
    <w:rsid w:val="0098375F"/>
    <w:rsid w:val="0098511D"/>
    <w:rsid w:val="00985485"/>
    <w:rsid w:val="00986075"/>
    <w:rsid w:val="00991298"/>
    <w:rsid w:val="00991A54"/>
    <w:rsid w:val="009932BD"/>
    <w:rsid w:val="009934FA"/>
    <w:rsid w:val="00994166"/>
    <w:rsid w:val="009A14E2"/>
    <w:rsid w:val="009B00C3"/>
    <w:rsid w:val="009B0CBC"/>
    <w:rsid w:val="009C0139"/>
    <w:rsid w:val="009C0E57"/>
    <w:rsid w:val="009C2F7D"/>
    <w:rsid w:val="009C55FF"/>
    <w:rsid w:val="009D6A3C"/>
    <w:rsid w:val="009D6EB2"/>
    <w:rsid w:val="009E3332"/>
    <w:rsid w:val="009E41C3"/>
    <w:rsid w:val="009E761C"/>
    <w:rsid w:val="009F0156"/>
    <w:rsid w:val="009F0F45"/>
    <w:rsid w:val="009F1E08"/>
    <w:rsid w:val="009F33A3"/>
    <w:rsid w:val="009F5379"/>
    <w:rsid w:val="009F698B"/>
    <w:rsid w:val="00A0033D"/>
    <w:rsid w:val="00A03EC8"/>
    <w:rsid w:val="00A0604C"/>
    <w:rsid w:val="00A11B0D"/>
    <w:rsid w:val="00A120BD"/>
    <w:rsid w:val="00A176AA"/>
    <w:rsid w:val="00A205D5"/>
    <w:rsid w:val="00A239B4"/>
    <w:rsid w:val="00A23D5F"/>
    <w:rsid w:val="00A25AFF"/>
    <w:rsid w:val="00A32DC9"/>
    <w:rsid w:val="00A33349"/>
    <w:rsid w:val="00A33FE6"/>
    <w:rsid w:val="00A44D43"/>
    <w:rsid w:val="00A452D2"/>
    <w:rsid w:val="00A470EC"/>
    <w:rsid w:val="00A50C4A"/>
    <w:rsid w:val="00A50F78"/>
    <w:rsid w:val="00A51224"/>
    <w:rsid w:val="00A5755C"/>
    <w:rsid w:val="00A63E56"/>
    <w:rsid w:val="00A66FD8"/>
    <w:rsid w:val="00A670EA"/>
    <w:rsid w:val="00A7100E"/>
    <w:rsid w:val="00A71A98"/>
    <w:rsid w:val="00A7291A"/>
    <w:rsid w:val="00A7417E"/>
    <w:rsid w:val="00A819B1"/>
    <w:rsid w:val="00A9009D"/>
    <w:rsid w:val="00A9242A"/>
    <w:rsid w:val="00A92BC1"/>
    <w:rsid w:val="00AA28F0"/>
    <w:rsid w:val="00AA2C54"/>
    <w:rsid w:val="00AA3EF4"/>
    <w:rsid w:val="00AA65DC"/>
    <w:rsid w:val="00AA7CBC"/>
    <w:rsid w:val="00AB36D0"/>
    <w:rsid w:val="00AB4CA0"/>
    <w:rsid w:val="00AB59CA"/>
    <w:rsid w:val="00AB60CB"/>
    <w:rsid w:val="00AC0C78"/>
    <w:rsid w:val="00AC175C"/>
    <w:rsid w:val="00AC4BC5"/>
    <w:rsid w:val="00AC6896"/>
    <w:rsid w:val="00AD4ACE"/>
    <w:rsid w:val="00AD4BAD"/>
    <w:rsid w:val="00AD5676"/>
    <w:rsid w:val="00AD5886"/>
    <w:rsid w:val="00AD6E3F"/>
    <w:rsid w:val="00AE08D5"/>
    <w:rsid w:val="00AE3466"/>
    <w:rsid w:val="00AF1471"/>
    <w:rsid w:val="00AF36BF"/>
    <w:rsid w:val="00AF53EC"/>
    <w:rsid w:val="00AF647B"/>
    <w:rsid w:val="00B010E5"/>
    <w:rsid w:val="00B048AA"/>
    <w:rsid w:val="00B13870"/>
    <w:rsid w:val="00B1500D"/>
    <w:rsid w:val="00B1629F"/>
    <w:rsid w:val="00B1672F"/>
    <w:rsid w:val="00B30486"/>
    <w:rsid w:val="00B3494F"/>
    <w:rsid w:val="00B427DC"/>
    <w:rsid w:val="00B44119"/>
    <w:rsid w:val="00B4671F"/>
    <w:rsid w:val="00B50F62"/>
    <w:rsid w:val="00B55AA4"/>
    <w:rsid w:val="00B60779"/>
    <w:rsid w:val="00B61496"/>
    <w:rsid w:val="00B63E05"/>
    <w:rsid w:val="00B66717"/>
    <w:rsid w:val="00B67AA7"/>
    <w:rsid w:val="00B72669"/>
    <w:rsid w:val="00B76DF4"/>
    <w:rsid w:val="00B76EEF"/>
    <w:rsid w:val="00B776C1"/>
    <w:rsid w:val="00B867D1"/>
    <w:rsid w:val="00B92977"/>
    <w:rsid w:val="00B92987"/>
    <w:rsid w:val="00B9437F"/>
    <w:rsid w:val="00B96073"/>
    <w:rsid w:val="00B962B5"/>
    <w:rsid w:val="00B968F0"/>
    <w:rsid w:val="00B96DB3"/>
    <w:rsid w:val="00BA2D4B"/>
    <w:rsid w:val="00BA3FBD"/>
    <w:rsid w:val="00BA7F8D"/>
    <w:rsid w:val="00BB48CE"/>
    <w:rsid w:val="00BB4CED"/>
    <w:rsid w:val="00BB57BA"/>
    <w:rsid w:val="00BB67B3"/>
    <w:rsid w:val="00BC3CDC"/>
    <w:rsid w:val="00BC4382"/>
    <w:rsid w:val="00BC5D5E"/>
    <w:rsid w:val="00BC6D9B"/>
    <w:rsid w:val="00BC7D69"/>
    <w:rsid w:val="00BC7FC3"/>
    <w:rsid w:val="00BD5B4F"/>
    <w:rsid w:val="00BD7B20"/>
    <w:rsid w:val="00BE4D46"/>
    <w:rsid w:val="00BE4D54"/>
    <w:rsid w:val="00BE72CC"/>
    <w:rsid w:val="00BF0580"/>
    <w:rsid w:val="00BF185A"/>
    <w:rsid w:val="00BF2DD0"/>
    <w:rsid w:val="00C01970"/>
    <w:rsid w:val="00C032A0"/>
    <w:rsid w:val="00C05C98"/>
    <w:rsid w:val="00C06939"/>
    <w:rsid w:val="00C0782F"/>
    <w:rsid w:val="00C20DBD"/>
    <w:rsid w:val="00C246E2"/>
    <w:rsid w:val="00C24BCF"/>
    <w:rsid w:val="00C27505"/>
    <w:rsid w:val="00C30F82"/>
    <w:rsid w:val="00C35EEA"/>
    <w:rsid w:val="00C40F18"/>
    <w:rsid w:val="00C41F0D"/>
    <w:rsid w:val="00C42F38"/>
    <w:rsid w:val="00C5033A"/>
    <w:rsid w:val="00C50B8F"/>
    <w:rsid w:val="00C525DF"/>
    <w:rsid w:val="00C52DB2"/>
    <w:rsid w:val="00C546DD"/>
    <w:rsid w:val="00C54918"/>
    <w:rsid w:val="00C553C3"/>
    <w:rsid w:val="00C64A12"/>
    <w:rsid w:val="00C650DE"/>
    <w:rsid w:val="00C66303"/>
    <w:rsid w:val="00C66BB9"/>
    <w:rsid w:val="00C7017C"/>
    <w:rsid w:val="00C73986"/>
    <w:rsid w:val="00C7746B"/>
    <w:rsid w:val="00C77C77"/>
    <w:rsid w:val="00C8105F"/>
    <w:rsid w:val="00C81379"/>
    <w:rsid w:val="00C816B2"/>
    <w:rsid w:val="00C81970"/>
    <w:rsid w:val="00C87101"/>
    <w:rsid w:val="00C94D24"/>
    <w:rsid w:val="00C967CD"/>
    <w:rsid w:val="00CA0B2C"/>
    <w:rsid w:val="00CA1024"/>
    <w:rsid w:val="00CA290E"/>
    <w:rsid w:val="00CA3A89"/>
    <w:rsid w:val="00CA4EA9"/>
    <w:rsid w:val="00CB2ED2"/>
    <w:rsid w:val="00CB5DCB"/>
    <w:rsid w:val="00CC0015"/>
    <w:rsid w:val="00CC263F"/>
    <w:rsid w:val="00CD2C52"/>
    <w:rsid w:val="00CD602C"/>
    <w:rsid w:val="00CD62C1"/>
    <w:rsid w:val="00CD7481"/>
    <w:rsid w:val="00CE2A66"/>
    <w:rsid w:val="00CE375B"/>
    <w:rsid w:val="00CE7232"/>
    <w:rsid w:val="00CE79D7"/>
    <w:rsid w:val="00CF1C01"/>
    <w:rsid w:val="00CF390A"/>
    <w:rsid w:val="00D023CF"/>
    <w:rsid w:val="00D043F3"/>
    <w:rsid w:val="00D11F90"/>
    <w:rsid w:val="00D126D3"/>
    <w:rsid w:val="00D12DF6"/>
    <w:rsid w:val="00D21546"/>
    <w:rsid w:val="00D22A0E"/>
    <w:rsid w:val="00D241C5"/>
    <w:rsid w:val="00D24F9A"/>
    <w:rsid w:val="00D25230"/>
    <w:rsid w:val="00D345C2"/>
    <w:rsid w:val="00D35886"/>
    <w:rsid w:val="00D37A72"/>
    <w:rsid w:val="00D41BFE"/>
    <w:rsid w:val="00D42B90"/>
    <w:rsid w:val="00D520F5"/>
    <w:rsid w:val="00D5213E"/>
    <w:rsid w:val="00D52723"/>
    <w:rsid w:val="00D530E5"/>
    <w:rsid w:val="00D54714"/>
    <w:rsid w:val="00D604F2"/>
    <w:rsid w:val="00D658CF"/>
    <w:rsid w:val="00D74542"/>
    <w:rsid w:val="00D74D35"/>
    <w:rsid w:val="00D77B41"/>
    <w:rsid w:val="00D80278"/>
    <w:rsid w:val="00D81180"/>
    <w:rsid w:val="00D9349A"/>
    <w:rsid w:val="00DA0D5E"/>
    <w:rsid w:val="00DA16AA"/>
    <w:rsid w:val="00DA30BF"/>
    <w:rsid w:val="00DA3FE8"/>
    <w:rsid w:val="00DA50C9"/>
    <w:rsid w:val="00DB1CEE"/>
    <w:rsid w:val="00DB3E9E"/>
    <w:rsid w:val="00DB591E"/>
    <w:rsid w:val="00DC30C9"/>
    <w:rsid w:val="00DD0D6E"/>
    <w:rsid w:val="00DD18CE"/>
    <w:rsid w:val="00DD1A16"/>
    <w:rsid w:val="00DD42EC"/>
    <w:rsid w:val="00DE0681"/>
    <w:rsid w:val="00DE5FDB"/>
    <w:rsid w:val="00DF0128"/>
    <w:rsid w:val="00DF2564"/>
    <w:rsid w:val="00DF2DC2"/>
    <w:rsid w:val="00DF5F9F"/>
    <w:rsid w:val="00E012CA"/>
    <w:rsid w:val="00E04A97"/>
    <w:rsid w:val="00E05A01"/>
    <w:rsid w:val="00E20678"/>
    <w:rsid w:val="00E23D9D"/>
    <w:rsid w:val="00E30145"/>
    <w:rsid w:val="00E32CDA"/>
    <w:rsid w:val="00E42B8D"/>
    <w:rsid w:val="00E42DFA"/>
    <w:rsid w:val="00E45770"/>
    <w:rsid w:val="00E520D2"/>
    <w:rsid w:val="00E52F69"/>
    <w:rsid w:val="00E55C18"/>
    <w:rsid w:val="00E6288B"/>
    <w:rsid w:val="00E638E7"/>
    <w:rsid w:val="00E65313"/>
    <w:rsid w:val="00E702FB"/>
    <w:rsid w:val="00E71137"/>
    <w:rsid w:val="00E72EC0"/>
    <w:rsid w:val="00E750D4"/>
    <w:rsid w:val="00E767B8"/>
    <w:rsid w:val="00E808C9"/>
    <w:rsid w:val="00E8326A"/>
    <w:rsid w:val="00E91974"/>
    <w:rsid w:val="00E9307D"/>
    <w:rsid w:val="00E96C5B"/>
    <w:rsid w:val="00EA10FE"/>
    <w:rsid w:val="00EA17F8"/>
    <w:rsid w:val="00EA5CFD"/>
    <w:rsid w:val="00EB0631"/>
    <w:rsid w:val="00EB09CB"/>
    <w:rsid w:val="00EB3C5A"/>
    <w:rsid w:val="00EB3D74"/>
    <w:rsid w:val="00EC0B6B"/>
    <w:rsid w:val="00EC1538"/>
    <w:rsid w:val="00EC3057"/>
    <w:rsid w:val="00ED0F91"/>
    <w:rsid w:val="00ED2DB3"/>
    <w:rsid w:val="00ED3D82"/>
    <w:rsid w:val="00ED4051"/>
    <w:rsid w:val="00ED4F45"/>
    <w:rsid w:val="00ED746E"/>
    <w:rsid w:val="00EE1598"/>
    <w:rsid w:val="00EE262B"/>
    <w:rsid w:val="00EE31D1"/>
    <w:rsid w:val="00EE664B"/>
    <w:rsid w:val="00EE68D1"/>
    <w:rsid w:val="00EE714E"/>
    <w:rsid w:val="00EF32F9"/>
    <w:rsid w:val="00EF57A8"/>
    <w:rsid w:val="00EF5B65"/>
    <w:rsid w:val="00EF6352"/>
    <w:rsid w:val="00EF79CB"/>
    <w:rsid w:val="00EF7E0B"/>
    <w:rsid w:val="00F007E2"/>
    <w:rsid w:val="00F00D24"/>
    <w:rsid w:val="00F02180"/>
    <w:rsid w:val="00F026BD"/>
    <w:rsid w:val="00F06630"/>
    <w:rsid w:val="00F156D9"/>
    <w:rsid w:val="00F1602D"/>
    <w:rsid w:val="00F22B29"/>
    <w:rsid w:val="00F235BF"/>
    <w:rsid w:val="00F2564B"/>
    <w:rsid w:val="00F2628D"/>
    <w:rsid w:val="00F27DBF"/>
    <w:rsid w:val="00F300F5"/>
    <w:rsid w:val="00F311F9"/>
    <w:rsid w:val="00F355E6"/>
    <w:rsid w:val="00F35FE4"/>
    <w:rsid w:val="00F401E7"/>
    <w:rsid w:val="00F407B4"/>
    <w:rsid w:val="00F43CA4"/>
    <w:rsid w:val="00F607FD"/>
    <w:rsid w:val="00F63729"/>
    <w:rsid w:val="00F65C5A"/>
    <w:rsid w:val="00F709BD"/>
    <w:rsid w:val="00F70A8D"/>
    <w:rsid w:val="00F70E49"/>
    <w:rsid w:val="00F71AA1"/>
    <w:rsid w:val="00F71F1F"/>
    <w:rsid w:val="00F752F3"/>
    <w:rsid w:val="00F80559"/>
    <w:rsid w:val="00F81F29"/>
    <w:rsid w:val="00F82F1C"/>
    <w:rsid w:val="00F83396"/>
    <w:rsid w:val="00F83FF1"/>
    <w:rsid w:val="00F849FD"/>
    <w:rsid w:val="00F90219"/>
    <w:rsid w:val="00F91559"/>
    <w:rsid w:val="00F94A92"/>
    <w:rsid w:val="00F96038"/>
    <w:rsid w:val="00F97984"/>
    <w:rsid w:val="00FA06B5"/>
    <w:rsid w:val="00FA2A9E"/>
    <w:rsid w:val="00FA2BBA"/>
    <w:rsid w:val="00FA3B5D"/>
    <w:rsid w:val="00FB0967"/>
    <w:rsid w:val="00FB2B52"/>
    <w:rsid w:val="00FB3455"/>
    <w:rsid w:val="00FB5138"/>
    <w:rsid w:val="00FC00A0"/>
    <w:rsid w:val="00FC031C"/>
    <w:rsid w:val="00FD112F"/>
    <w:rsid w:val="00FD1419"/>
    <w:rsid w:val="00FD6A76"/>
    <w:rsid w:val="00FE0388"/>
    <w:rsid w:val="00FE1D1B"/>
    <w:rsid w:val="00FE20DB"/>
    <w:rsid w:val="00FF07F9"/>
    <w:rsid w:val="00FF4C67"/>
    <w:rsid w:val="022A731E"/>
    <w:rsid w:val="02A64119"/>
    <w:rsid w:val="043D6C25"/>
    <w:rsid w:val="048667D3"/>
    <w:rsid w:val="049E006D"/>
    <w:rsid w:val="054C634F"/>
    <w:rsid w:val="07BD0E51"/>
    <w:rsid w:val="08DB7764"/>
    <w:rsid w:val="0C9A6ED5"/>
    <w:rsid w:val="100603AC"/>
    <w:rsid w:val="10F1631B"/>
    <w:rsid w:val="12A93FD5"/>
    <w:rsid w:val="130C2FEE"/>
    <w:rsid w:val="13CE1647"/>
    <w:rsid w:val="17B84A32"/>
    <w:rsid w:val="19B01875"/>
    <w:rsid w:val="1A1C1CFA"/>
    <w:rsid w:val="1AD4001C"/>
    <w:rsid w:val="1C3E1334"/>
    <w:rsid w:val="1CFD4AD4"/>
    <w:rsid w:val="1D070020"/>
    <w:rsid w:val="1EB274DF"/>
    <w:rsid w:val="20106F8E"/>
    <w:rsid w:val="22B36787"/>
    <w:rsid w:val="231125AC"/>
    <w:rsid w:val="24077BFF"/>
    <w:rsid w:val="26A5092E"/>
    <w:rsid w:val="28260401"/>
    <w:rsid w:val="2B110340"/>
    <w:rsid w:val="2CF51D47"/>
    <w:rsid w:val="2F640DE8"/>
    <w:rsid w:val="31190CC6"/>
    <w:rsid w:val="33FD7752"/>
    <w:rsid w:val="37922635"/>
    <w:rsid w:val="379540A7"/>
    <w:rsid w:val="3989156E"/>
    <w:rsid w:val="3A15477F"/>
    <w:rsid w:val="3A242466"/>
    <w:rsid w:val="3C47334E"/>
    <w:rsid w:val="3CB26D1E"/>
    <w:rsid w:val="3EF07F7A"/>
    <w:rsid w:val="43ED3C40"/>
    <w:rsid w:val="495323ED"/>
    <w:rsid w:val="4AF3601A"/>
    <w:rsid w:val="4BA315C9"/>
    <w:rsid w:val="4CC6446A"/>
    <w:rsid w:val="544D740E"/>
    <w:rsid w:val="55AE0FCF"/>
    <w:rsid w:val="58FE18D5"/>
    <w:rsid w:val="594914BB"/>
    <w:rsid w:val="5CA82CD1"/>
    <w:rsid w:val="5FCE09A6"/>
    <w:rsid w:val="60ED5F11"/>
    <w:rsid w:val="64122457"/>
    <w:rsid w:val="646426D5"/>
    <w:rsid w:val="64BC4F31"/>
    <w:rsid w:val="64C3416F"/>
    <w:rsid w:val="6624577F"/>
    <w:rsid w:val="67161F83"/>
    <w:rsid w:val="68817BAC"/>
    <w:rsid w:val="68DB6F84"/>
    <w:rsid w:val="6A1706CF"/>
    <w:rsid w:val="6A563FBC"/>
    <w:rsid w:val="6A7E3167"/>
    <w:rsid w:val="6D873407"/>
    <w:rsid w:val="6DA24319"/>
    <w:rsid w:val="6EA81B75"/>
    <w:rsid w:val="6FE35A27"/>
    <w:rsid w:val="72167982"/>
    <w:rsid w:val="739B783A"/>
    <w:rsid w:val="75536D10"/>
    <w:rsid w:val="75B30C82"/>
    <w:rsid w:val="770E7892"/>
    <w:rsid w:val="77980A6E"/>
    <w:rsid w:val="77F71564"/>
    <w:rsid w:val="792A54A4"/>
    <w:rsid w:val="79F15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qFormat/>
    <w:uiPriority w:val="0"/>
    <w:rPr>
      <w:color w:val="0000FF"/>
      <w:u w:val="single"/>
    </w:rPr>
  </w:style>
  <w:style w:type="character" w:customStyle="1" w:styleId="10">
    <w:name w:val="已访问的超链接1"/>
    <w:qFormat/>
    <w:uiPriority w:val="0"/>
    <w:rPr>
      <w:color w:val="800080"/>
      <w:u w:val="single"/>
    </w:rPr>
  </w:style>
  <w:style w:type="character" w:customStyle="1" w:styleId="11">
    <w:name w:val="页眉 Char"/>
    <w:link w:val="4"/>
    <w:qFormat/>
    <w:uiPriority w:val="0"/>
    <w:rPr>
      <w:kern w:val="2"/>
      <w:sz w:val="18"/>
      <w:szCs w:val="18"/>
    </w:rPr>
  </w:style>
  <w:style w:type="character" w:customStyle="1" w:styleId="12">
    <w:name w:val="页脚 Char"/>
    <w:link w:val="3"/>
    <w:qFormat/>
    <w:uiPriority w:val="0"/>
    <w:rPr>
      <w:kern w:val="2"/>
      <w:sz w:val="18"/>
      <w:szCs w:val="18"/>
    </w:rPr>
  </w:style>
  <w:style w:type="paragraph" w:customStyle="1" w:styleId="13">
    <w:name w:val="目录 21"/>
    <w:basedOn w:val="1"/>
    <w:next w:val="1"/>
    <w:qFormat/>
    <w:uiPriority w:val="39"/>
    <w:pPr>
      <w:tabs>
        <w:tab w:val="right" w:leader="dot" w:pos="8494"/>
      </w:tabs>
      <w:spacing w:line="560" w:lineRule="exact"/>
      <w:ind w:left="210"/>
      <w:jc w:val="left"/>
    </w:pPr>
    <w:rPr>
      <w:rFonts w:ascii="仿宋_GB2312" w:hAnsi="Calibri" w:eastAsia="仿宋_GB2312" w:cs="Calibri"/>
      <w:smallCaps/>
      <w:sz w:val="28"/>
      <w:szCs w:val="28"/>
    </w:rPr>
  </w:style>
  <w:style w:type="paragraph" w:customStyle="1" w:styleId="14">
    <w:name w:val="目录 11"/>
    <w:basedOn w:val="1"/>
    <w:next w:val="1"/>
    <w:qFormat/>
    <w:uiPriority w:val="39"/>
    <w:pPr>
      <w:tabs>
        <w:tab w:val="left" w:pos="840"/>
        <w:tab w:val="right" w:leader="dot" w:pos="8296"/>
      </w:tabs>
      <w:spacing w:line="560" w:lineRule="exact"/>
      <w:jc w:val="left"/>
    </w:pPr>
    <w:rPr>
      <w:rFonts w:ascii="仿宋_GB2312" w:hAnsi="新宋体" w:eastAsia="仿宋_GB2312" w:cs="Calibri"/>
      <w:b/>
      <w:bCs/>
      <w:caps/>
      <w:sz w:val="28"/>
      <w:szCs w:val="28"/>
    </w:rPr>
  </w:style>
  <w:style w:type="paragraph" w:customStyle="1" w:styleId="15">
    <w:name w:val="Char Char Char Char Char Char Char"/>
    <w:basedOn w:val="1"/>
    <w:qFormat/>
    <w:uiPriority w:val="0"/>
    <w:rPr>
      <w:szCs w:val="21"/>
    </w:rPr>
  </w:style>
  <w:style w:type="paragraph" w:customStyle="1" w:styleId="16">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numbering.xml" Type="http://schemas.openxmlformats.org/officeDocument/2006/relationships/numbering"/>
<Relationship Id="rId11" Target="fontTable.xml" Type="http://schemas.openxmlformats.org/officeDocument/2006/relationships/fontTable"/>
<Relationship Id="rId2" Target="settings.xml" Type="http://schemas.openxmlformats.org/officeDocument/2006/relationships/settings"/>
<Relationship Id="rId3" Target="header1.xml" Type="http://schemas.openxmlformats.org/officeDocument/2006/relationships/header"/>
<Relationship Id="rId4" Target="header2.xml" Type="http://schemas.openxmlformats.org/officeDocument/2006/relationships/header"/>
<Relationship Id="rId5" Target="footer1.xml" Type="http://schemas.openxmlformats.org/officeDocument/2006/relationships/footer"/>
<Relationship Id="rId6" Target="footer2.xml" Type="http://schemas.openxmlformats.org/officeDocument/2006/relationships/footer"/>
<Relationship Id="rId7" Target="header3.xml" Type="http://schemas.openxmlformats.org/officeDocument/2006/relationships/header"/>
<Relationship Id="rId8" Target="footer3.xml" Type="http://schemas.openxmlformats.org/officeDocument/2006/relationships/footer"/>
<Relationship Id="rId9"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czj</Company>
  <Pages>1</Pages>
  <Words>25</Words>
  <Characters>144</Characters>
  <Lines>1</Lines>
  <Paragraphs>1</Paragraphs>
  <TotalTime>4</TotalTime>
  <ScaleCrop>false</ScaleCrop>
  <LinksUpToDate>false</LinksUpToDate>
  <CharactersWithSpaces>168</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2020-12-31T06:58:00Z</dcterms:created>
  <dc:creator>傅海英</dc:creator>
  <cp:lastModifiedBy>木木三</cp:lastModifiedBy>
  <cp:lastPrinted>2019-06-21T02:10:00Z</cp:lastPrinted>
  <dcterms:modified xsi:type="dcterms:W3CDTF">2023-09-01T02:22:42Z</dcterms:modified>
  <cp:revision>6</cp:revision>
  <dc:title>关于进行本市部门整体支出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739EEDB2ECE141DEAF0C3D87D58590AD_13</vt:lpwstr>
  </property>
</Properties>
</file>