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5F06A">
      <w:pPr>
        <w:widowControl/>
        <w:kinsoku w:val="0"/>
        <w:autoSpaceDE w:val="0"/>
        <w:autoSpaceDN w:val="0"/>
        <w:adjustRightInd w:val="0"/>
        <w:snapToGrid w:val="0"/>
        <w:spacing w:line="360" w:lineRule="auto"/>
        <w:textAlignment w:val="baseline"/>
        <w:rPr>
          <w:rFonts w:ascii="Arial" w:hAnsi="Arial" w:eastAsia="Arial" w:cs="Arial"/>
          <w:b/>
          <w:bCs/>
          <w:snapToGrid w:val="0"/>
          <w:color w:val="000000"/>
          <w:kern w:val="0"/>
          <w:sz w:val="36"/>
          <w:szCs w:val="36"/>
        </w:rPr>
      </w:pPr>
      <w:bookmarkStart w:id="0" w:name="OLE_LINK7"/>
      <w:bookmarkStart w:id="1" w:name="OLE_LINK6"/>
      <w:r>
        <w:rPr>
          <w:rFonts w:hint="eastAsia" w:ascii="宋体" w:hAnsi="宋体" w:cs="宋体"/>
          <w:b/>
          <w:bCs/>
          <w:snapToGrid w:val="0"/>
          <w:color w:val="000000"/>
          <w:kern w:val="0"/>
          <w:sz w:val="36"/>
          <w:szCs w:val="36"/>
        </w:rPr>
        <w:t>附 件</w:t>
      </w:r>
    </w:p>
    <w:p w14:paraId="5C410D31">
      <w:pPr>
        <w:widowControl/>
        <w:kinsoku w:val="0"/>
        <w:autoSpaceDE w:val="0"/>
        <w:autoSpaceDN w:val="0"/>
        <w:adjustRightInd w:val="0"/>
        <w:snapToGrid w:val="0"/>
        <w:spacing w:before="140" w:line="360" w:lineRule="auto"/>
        <w:ind w:left="436"/>
        <w:textAlignment w:val="baseline"/>
        <w:rPr>
          <w:rFonts w:hint="eastAsia" w:ascii="宋体" w:hAnsi="宋体" w:cs="宋体"/>
          <w:snapToGrid w:val="0"/>
          <w:color w:val="000000"/>
          <w:kern w:val="0"/>
          <w:sz w:val="43"/>
          <w:szCs w:val="43"/>
        </w:rPr>
      </w:pPr>
      <w:bookmarkStart w:id="17" w:name="_GoBack"/>
      <w:r>
        <w:rPr>
          <w:rFonts w:hint="eastAsia" w:ascii="宋体" w:hAnsi="宋体" w:cs="宋体"/>
          <w:b/>
          <w:bCs/>
          <w:snapToGrid w:val="0"/>
          <w:color w:val="000000"/>
          <w:spacing w:val="4"/>
          <w:kern w:val="0"/>
          <w:position w:val="2"/>
          <w:sz w:val="43"/>
          <w:szCs w:val="43"/>
        </w:rPr>
        <w:t>苏州</w:t>
      </w:r>
      <w:r>
        <w:rPr>
          <w:rFonts w:ascii="宋体" w:hAnsi="宋体" w:cs="宋体"/>
          <w:b/>
          <w:bCs/>
          <w:snapToGrid w:val="0"/>
          <w:color w:val="000000"/>
          <w:spacing w:val="4"/>
          <w:kern w:val="0"/>
          <w:position w:val="2"/>
          <w:sz w:val="43"/>
          <w:szCs w:val="43"/>
        </w:rPr>
        <w:t>市科技计划项目科研诚信管理办法</w:t>
      </w:r>
    </w:p>
    <w:bookmarkEnd w:id="17"/>
    <w:p w14:paraId="0020B270">
      <w:pPr>
        <w:widowControl/>
        <w:kinsoku w:val="0"/>
        <w:autoSpaceDE w:val="0"/>
        <w:autoSpaceDN w:val="0"/>
        <w:adjustRightInd w:val="0"/>
        <w:snapToGrid w:val="0"/>
        <w:spacing w:before="77" w:line="360" w:lineRule="auto"/>
        <w:ind w:left="3052"/>
        <w:textAlignment w:val="baseline"/>
        <w:rPr>
          <w:rFonts w:hint="eastAsia" w:ascii="楷体" w:hAnsi="楷体" w:eastAsia="楷体" w:cs="楷体"/>
          <w:snapToGrid w:val="0"/>
          <w:color w:val="000000"/>
          <w:kern w:val="0"/>
          <w:sz w:val="31"/>
          <w:szCs w:val="31"/>
        </w:rPr>
      </w:pPr>
      <w:r>
        <w:rPr>
          <w:rFonts w:ascii="楷体" w:hAnsi="楷体" w:eastAsia="楷体" w:cs="楷体"/>
          <w:snapToGrid w:val="0"/>
          <w:color w:val="000000"/>
          <w:spacing w:val="8"/>
          <w:kern w:val="0"/>
          <w:sz w:val="31"/>
          <w:szCs w:val="31"/>
        </w:rPr>
        <w:t>（征求意见稿）</w:t>
      </w:r>
    </w:p>
    <w:p w14:paraId="24696660">
      <w:pPr>
        <w:widowControl/>
        <w:kinsoku w:val="0"/>
        <w:autoSpaceDE w:val="0"/>
        <w:autoSpaceDN w:val="0"/>
        <w:adjustRightInd w:val="0"/>
        <w:snapToGrid w:val="0"/>
        <w:spacing w:line="360" w:lineRule="auto"/>
        <w:textAlignment w:val="baseline"/>
        <w:rPr>
          <w:rFonts w:ascii="Arial" w:hAnsi="Arial" w:eastAsia="Arial" w:cs="Arial"/>
          <w:snapToGrid w:val="0"/>
          <w:color w:val="000000"/>
          <w:kern w:val="0"/>
          <w:szCs w:val="21"/>
        </w:rPr>
      </w:pPr>
    </w:p>
    <w:p w14:paraId="3D9F1B30">
      <w:pPr>
        <w:widowControl/>
        <w:kinsoku w:val="0"/>
        <w:autoSpaceDE w:val="0"/>
        <w:autoSpaceDN w:val="0"/>
        <w:adjustRightInd w:val="0"/>
        <w:snapToGrid w:val="0"/>
        <w:spacing w:line="360" w:lineRule="auto"/>
        <w:textAlignment w:val="baseline"/>
        <w:rPr>
          <w:rFonts w:ascii="Arial" w:hAnsi="Arial" w:eastAsia="Arial" w:cs="Arial"/>
          <w:snapToGrid w:val="0"/>
          <w:color w:val="000000"/>
          <w:kern w:val="0"/>
          <w:szCs w:val="21"/>
        </w:rPr>
      </w:pPr>
    </w:p>
    <w:p w14:paraId="47A70FBC">
      <w:pPr>
        <w:widowControl/>
        <w:kinsoku w:val="0"/>
        <w:autoSpaceDE w:val="0"/>
        <w:autoSpaceDN w:val="0"/>
        <w:adjustRightInd w:val="0"/>
        <w:snapToGrid w:val="0"/>
        <w:spacing w:line="360" w:lineRule="auto"/>
        <w:ind w:left="3222"/>
        <w:textAlignment w:val="baseline"/>
        <w:rPr>
          <w:rFonts w:hint="eastAsia" w:ascii="黑体" w:hAnsi="黑体" w:eastAsia="黑体" w:cs="黑体"/>
          <w:snapToGrid w:val="0"/>
          <w:color w:val="000000"/>
          <w:kern w:val="0"/>
          <w:sz w:val="31"/>
          <w:szCs w:val="31"/>
        </w:rPr>
      </w:pPr>
      <w:r>
        <w:rPr>
          <w:rFonts w:ascii="黑体" w:hAnsi="黑体" w:eastAsia="黑体" w:cs="黑体"/>
          <w:snapToGrid w:val="0"/>
          <w:color w:val="000000"/>
          <w:spacing w:val="-1"/>
          <w:kern w:val="0"/>
          <w:position w:val="1"/>
          <w:sz w:val="31"/>
          <w:szCs w:val="31"/>
        </w:rPr>
        <w:t>第一章</w:t>
      </w:r>
      <w:r>
        <w:rPr>
          <w:rFonts w:ascii="黑体" w:hAnsi="黑体" w:eastAsia="黑体" w:cs="黑体"/>
          <w:snapToGrid w:val="0"/>
          <w:color w:val="000000"/>
          <w:spacing w:val="32"/>
          <w:kern w:val="0"/>
          <w:position w:val="1"/>
          <w:sz w:val="31"/>
          <w:szCs w:val="31"/>
        </w:rPr>
        <w:t xml:space="preserve"> </w:t>
      </w:r>
      <w:r>
        <w:rPr>
          <w:rFonts w:ascii="黑体" w:hAnsi="黑体" w:eastAsia="黑体" w:cs="黑体"/>
          <w:snapToGrid w:val="0"/>
          <w:color w:val="000000"/>
          <w:spacing w:val="-1"/>
          <w:kern w:val="0"/>
          <w:position w:val="1"/>
          <w:sz w:val="31"/>
          <w:szCs w:val="31"/>
        </w:rPr>
        <w:t>总</w:t>
      </w:r>
      <w:r>
        <w:rPr>
          <w:rFonts w:ascii="黑体" w:hAnsi="黑体" w:eastAsia="黑体" w:cs="黑体"/>
          <w:snapToGrid w:val="0"/>
          <w:color w:val="000000"/>
          <w:spacing w:val="17"/>
          <w:kern w:val="0"/>
          <w:position w:val="1"/>
          <w:sz w:val="31"/>
          <w:szCs w:val="31"/>
        </w:rPr>
        <w:t xml:space="preserve"> </w:t>
      </w:r>
      <w:r>
        <w:rPr>
          <w:rFonts w:ascii="黑体" w:hAnsi="黑体" w:eastAsia="黑体" w:cs="黑体"/>
          <w:snapToGrid w:val="0"/>
          <w:color w:val="000000"/>
          <w:spacing w:val="-1"/>
          <w:kern w:val="0"/>
          <w:position w:val="1"/>
          <w:sz w:val="31"/>
          <w:szCs w:val="31"/>
        </w:rPr>
        <w:t>则</w:t>
      </w:r>
    </w:p>
    <w:p w14:paraId="5209F533">
      <w:pPr>
        <w:widowControl/>
        <w:kinsoku w:val="0"/>
        <w:autoSpaceDE w:val="0"/>
        <w:autoSpaceDN w:val="0"/>
        <w:adjustRightInd w:val="0"/>
        <w:snapToGrid w:val="0"/>
        <w:spacing w:line="360" w:lineRule="auto"/>
        <w:ind w:left="18" w:right="88" w:firstLine="810"/>
        <w:textAlignment w:val="baseline"/>
        <w:rPr>
          <w:rFonts w:hint="eastAsia" w:ascii="仿宋_GB2312" w:hAnsi="仿宋" w:eastAsia="仿宋_GB2312" w:cs="仿宋"/>
          <w:snapToGrid w:val="0"/>
          <w:kern w:val="0"/>
          <w:sz w:val="32"/>
          <w:szCs w:val="32"/>
        </w:rPr>
      </w:pPr>
      <w:r>
        <w:rPr>
          <w:rFonts w:ascii="黑体" w:hAnsi="黑体" w:eastAsia="黑体" w:cs="黑体"/>
          <w:snapToGrid w:val="0"/>
          <w:color w:val="000000"/>
          <w:spacing w:val="8"/>
          <w:kern w:val="0"/>
          <w:sz w:val="31"/>
          <w:szCs w:val="31"/>
        </w:rPr>
        <w:t xml:space="preserve">第一条 </w:t>
      </w:r>
      <w:r>
        <w:rPr>
          <w:rFonts w:ascii="仿宋_GB2312" w:hAnsi="仿宋" w:eastAsia="仿宋_GB2312" w:cs="仿宋"/>
          <w:snapToGrid w:val="0"/>
          <w:kern w:val="0"/>
          <w:sz w:val="32"/>
          <w:szCs w:val="32"/>
        </w:rPr>
        <w:t>为了进一步加强科研诚信建设，规范市科技计  划项目</w:t>
      </w:r>
      <w:r>
        <w:rPr>
          <w:rFonts w:hint="eastAsia" w:ascii="仿宋_GB2312" w:hAnsi="仿宋" w:eastAsia="仿宋_GB2312" w:cs="仿宋"/>
          <w:snapToGrid w:val="0"/>
          <w:kern w:val="0"/>
          <w:sz w:val="32"/>
          <w:szCs w:val="32"/>
        </w:rPr>
        <w:t>信用</w:t>
      </w:r>
      <w:r>
        <w:rPr>
          <w:rFonts w:ascii="仿宋_GB2312" w:hAnsi="仿宋" w:eastAsia="仿宋_GB2312" w:cs="仿宋"/>
          <w:snapToGrid w:val="0"/>
          <w:kern w:val="0"/>
          <w:sz w:val="32"/>
          <w:szCs w:val="32"/>
        </w:rPr>
        <w:t>管理，</w:t>
      </w:r>
      <w:r>
        <w:rPr>
          <w:rFonts w:hint="eastAsia" w:ascii="仿宋_GB2312" w:hAnsi="仿宋" w:eastAsia="仿宋_GB2312" w:cs="仿宋"/>
          <w:snapToGrid w:val="0"/>
          <w:kern w:val="0"/>
          <w:sz w:val="32"/>
          <w:szCs w:val="32"/>
        </w:rPr>
        <w:t>营造风清气正的科研环境，根据</w:t>
      </w:r>
      <w:r>
        <w:rPr>
          <w:rFonts w:ascii="仿宋_GB2312" w:hAnsi="仿宋" w:eastAsia="仿宋_GB2312" w:cs="仿宋"/>
          <w:snapToGrid w:val="0"/>
          <w:kern w:val="0"/>
          <w:sz w:val="32"/>
          <w:szCs w:val="32"/>
        </w:rPr>
        <w:t>《中华人民共和国科学技术进步法》</w:t>
      </w:r>
      <w:bookmarkStart w:id="2" w:name="OLE_LINK1"/>
      <w:r>
        <w:rPr>
          <w:rFonts w:ascii="仿宋_GB2312" w:hAnsi="仿宋" w:eastAsia="仿宋_GB2312" w:cs="仿宋"/>
          <w:snapToGrid w:val="0"/>
          <w:kern w:val="0"/>
          <w:sz w:val="32"/>
          <w:szCs w:val="32"/>
        </w:rPr>
        <w:t>《关于进一步加强科研诚信建设的若干意见》</w:t>
      </w:r>
      <w:bookmarkEnd w:id="2"/>
      <w:r>
        <w:rPr>
          <w:rFonts w:hint="eastAsia" w:ascii="仿宋_GB2312" w:hAnsi="Calibri" w:eastAsia="仿宋_GB2312"/>
          <w:sz w:val="32"/>
          <w:szCs w:val="32"/>
        </w:rPr>
        <w:t>（</w:t>
      </w:r>
      <w:bookmarkStart w:id="3" w:name="OLE_LINK3"/>
      <w:bookmarkStart w:id="4" w:name="OLE_LINK2"/>
      <w:r>
        <w:rPr>
          <w:rFonts w:hint="eastAsia" w:ascii="仿宋_GB2312" w:hAnsi="Calibri" w:eastAsia="仿宋_GB2312"/>
          <w:sz w:val="32"/>
          <w:szCs w:val="32"/>
        </w:rPr>
        <w:t>厅字〔2018〕23号</w:t>
      </w:r>
      <w:bookmarkEnd w:id="3"/>
      <w:bookmarkEnd w:id="4"/>
      <w:r>
        <w:rPr>
          <w:rFonts w:hint="eastAsia" w:ascii="仿宋_GB2312" w:hAnsi="Calibri" w:eastAsia="仿宋_GB2312"/>
          <w:sz w:val="32"/>
          <w:szCs w:val="32"/>
        </w:rPr>
        <w:t>）</w:t>
      </w:r>
      <w:r>
        <w:rPr>
          <w:rFonts w:ascii="仿宋_GB2312" w:hAnsi="仿宋" w:eastAsia="仿宋_GB2312" w:cs="仿宋"/>
          <w:snapToGrid w:val="0"/>
          <w:kern w:val="0"/>
          <w:sz w:val="32"/>
          <w:szCs w:val="32"/>
        </w:rPr>
        <w:t>《科学技术活动违规行为处理暂行规定》</w:t>
      </w:r>
      <w:r>
        <w:rPr>
          <w:rFonts w:hint="eastAsia" w:ascii="仿宋_GB2312" w:hAnsi="Calibri" w:eastAsia="仿宋_GB2312"/>
          <w:sz w:val="32"/>
          <w:szCs w:val="32"/>
        </w:rPr>
        <w:t>（科学技术部令第19号）《国家科技计划（专项、基金等）严重失信行为记录暂行规定》（国科发政〔2016〕97号）</w:t>
      </w:r>
      <w:r>
        <w:rPr>
          <w:rFonts w:ascii="仿宋_GB2312" w:hAnsi="仿宋" w:eastAsia="仿宋_GB2312" w:cs="仿宋"/>
          <w:snapToGrid w:val="0"/>
          <w:kern w:val="0"/>
          <w:sz w:val="32"/>
          <w:szCs w:val="32"/>
        </w:rPr>
        <w:t>《科研失信行为调查处理规则》</w:t>
      </w:r>
      <w:r>
        <w:rPr>
          <w:rFonts w:hint="eastAsia" w:ascii="仿宋_GB2312" w:hAnsi="Calibri" w:eastAsia="仿宋_GB2312"/>
          <w:sz w:val="32"/>
          <w:szCs w:val="32"/>
        </w:rPr>
        <w:t>（国科发监</w:t>
      </w:r>
      <w:bookmarkStart w:id="5" w:name="OLE_LINK17"/>
      <w:bookmarkStart w:id="6" w:name="OLE_LINK16"/>
      <w:r>
        <w:rPr>
          <w:rFonts w:hint="eastAsia" w:ascii="仿宋_GB2312" w:hAnsi="Calibri" w:eastAsia="仿宋_GB2312"/>
          <w:sz w:val="32"/>
          <w:szCs w:val="32"/>
        </w:rPr>
        <w:t>〔2019〕</w:t>
      </w:r>
      <w:bookmarkEnd w:id="5"/>
      <w:bookmarkEnd w:id="6"/>
      <w:r>
        <w:rPr>
          <w:rFonts w:hint="eastAsia" w:ascii="仿宋_GB2312" w:hAnsi="Calibri" w:eastAsia="仿宋_GB2312"/>
          <w:sz w:val="32"/>
          <w:szCs w:val="32"/>
        </w:rPr>
        <w:t>323号）</w:t>
      </w:r>
      <w:r>
        <w:rPr>
          <w:rFonts w:hint="eastAsia" w:ascii="仿宋_GB2312" w:hAnsi="仿宋" w:eastAsia="仿宋_GB2312" w:cs="仿宋"/>
          <w:snapToGrid w:val="0"/>
          <w:kern w:val="0"/>
          <w:sz w:val="32"/>
          <w:szCs w:val="32"/>
        </w:rPr>
        <w:t>《江苏省信用条例》《关于进一步加强全省科研诚信建设的实施意见》（苏办</w:t>
      </w:r>
      <w:r>
        <w:rPr>
          <w:rFonts w:hint="eastAsia" w:ascii="仿宋_GB2312" w:hAnsi="Calibri" w:eastAsia="仿宋_GB2312"/>
          <w:kern w:val="0"/>
          <w:sz w:val="32"/>
          <w:szCs w:val="32"/>
        </w:rPr>
        <w:t>〔2019〕39号）</w:t>
      </w:r>
      <w:r>
        <w:rPr>
          <w:rFonts w:hint="eastAsia" w:ascii="仿宋_GB2312" w:hAnsi="仿宋" w:eastAsia="仿宋_GB2312" w:cs="仿宋"/>
          <w:snapToGrid w:val="0"/>
          <w:kern w:val="0"/>
          <w:sz w:val="32"/>
          <w:szCs w:val="32"/>
        </w:rPr>
        <w:t>《江苏省科技计划项目信用管理办法》（苏科规</w:t>
      </w:r>
      <w:r>
        <w:rPr>
          <w:rFonts w:hint="eastAsia" w:ascii="仿宋_GB2312" w:hAnsi="Calibri" w:eastAsia="仿宋_GB2312"/>
          <w:kern w:val="0"/>
          <w:sz w:val="32"/>
          <w:szCs w:val="32"/>
        </w:rPr>
        <w:t>〔2022〕3号）</w:t>
      </w:r>
      <w:r>
        <w:rPr>
          <w:rFonts w:hint="eastAsia" w:ascii="仿宋_GB2312" w:hAnsi="仿宋" w:eastAsia="仿宋_GB2312" w:cs="仿宋"/>
          <w:snapToGrid w:val="0"/>
          <w:kern w:val="0"/>
          <w:sz w:val="32"/>
          <w:szCs w:val="32"/>
        </w:rPr>
        <w:t>《关于加快推进社会信用体系建设构建以信用为基础的新型监管机制的实施办法的通知》（苏府办</w:t>
      </w:r>
      <w:r>
        <w:rPr>
          <w:rFonts w:hint="eastAsia" w:ascii="仿宋_GB2312" w:hAnsi="Calibri" w:eastAsia="仿宋_GB2312"/>
          <w:kern w:val="0"/>
          <w:sz w:val="32"/>
          <w:szCs w:val="32"/>
        </w:rPr>
        <w:t>〔2020〕232号）</w:t>
      </w:r>
      <w:r>
        <w:rPr>
          <w:rFonts w:hint="eastAsia" w:ascii="仿宋_GB2312" w:hAnsi="仿宋" w:eastAsia="仿宋_GB2312" w:cs="仿宋"/>
          <w:snapToGrid w:val="0"/>
          <w:kern w:val="0"/>
          <w:sz w:val="32"/>
          <w:szCs w:val="32"/>
        </w:rPr>
        <w:t>等规定，制定本办法</w:t>
      </w:r>
      <w:r>
        <w:rPr>
          <w:rFonts w:ascii="仿宋_GB2312" w:hAnsi="仿宋" w:eastAsia="仿宋_GB2312" w:cs="仿宋"/>
          <w:snapToGrid w:val="0"/>
          <w:kern w:val="0"/>
          <w:sz w:val="32"/>
          <w:szCs w:val="32"/>
        </w:rPr>
        <w:t>。</w:t>
      </w:r>
    </w:p>
    <w:p w14:paraId="2E3C6419">
      <w:pPr>
        <w:widowControl/>
        <w:kinsoku w:val="0"/>
        <w:autoSpaceDE w:val="0"/>
        <w:autoSpaceDN w:val="0"/>
        <w:adjustRightInd w:val="0"/>
        <w:snapToGrid w:val="0"/>
        <w:spacing w:line="360" w:lineRule="auto"/>
        <w:ind w:left="25" w:right="242" w:firstLine="645"/>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0"/>
          <w:kern w:val="0"/>
          <w:sz w:val="31"/>
          <w:szCs w:val="31"/>
        </w:rPr>
        <w:t xml:space="preserve">第二条 </w:t>
      </w:r>
      <w:r>
        <w:rPr>
          <w:rFonts w:hint="eastAsia" w:ascii="仿宋_GB2312" w:hAnsi="仿宋" w:eastAsia="仿宋_GB2312" w:cs="仿宋"/>
          <w:snapToGrid w:val="0"/>
          <w:color w:val="000000"/>
          <w:kern w:val="0"/>
          <w:sz w:val="32"/>
          <w:szCs w:val="32"/>
        </w:rPr>
        <w:t>本办法适用于苏州市科学技术局（以下简称市</w:t>
      </w:r>
      <w:r>
        <w:rPr>
          <w:rFonts w:ascii="仿宋_GB2312" w:hAnsi="仿宋" w:eastAsia="仿宋_GB2312" w:cs="仿宋"/>
          <w:snapToGrid w:val="0"/>
          <w:color w:val="000000"/>
          <w:kern w:val="0"/>
          <w:sz w:val="32"/>
          <w:szCs w:val="32"/>
        </w:rPr>
        <w:t xml:space="preserve"> </w:t>
      </w:r>
      <w:r>
        <w:rPr>
          <w:rFonts w:hint="eastAsia" w:ascii="仿宋_GB2312" w:hAnsi="仿宋" w:eastAsia="仿宋_GB2312" w:cs="仿宋"/>
          <w:snapToGrid w:val="0"/>
          <w:color w:val="000000"/>
          <w:kern w:val="0"/>
          <w:sz w:val="32"/>
          <w:szCs w:val="32"/>
        </w:rPr>
        <w:t>科技局）设立的市级各类科技计划项目管理全过程，包括指南编制发布、申报受理、评审立项、过程管理、结题验收和监督评估等。</w:t>
      </w:r>
    </w:p>
    <w:p w14:paraId="0B61ED66">
      <w:pPr>
        <w:jc w:val="center"/>
        <w:rPr>
          <w:rFonts w:hint="eastAsia" w:ascii="仿宋_GB2312" w:hAnsi="仿宋" w:eastAsia="仿宋_GB2312" w:cs="仿宋"/>
          <w:sz w:val="32"/>
          <w:szCs w:val="32"/>
        </w:rPr>
      </w:pPr>
    </w:p>
    <w:p w14:paraId="3128ECF3">
      <w:pPr>
        <w:widowControl/>
        <w:kinsoku w:val="0"/>
        <w:autoSpaceDE w:val="0"/>
        <w:autoSpaceDN w:val="0"/>
        <w:adjustRightInd w:val="0"/>
        <w:snapToGrid w:val="0"/>
        <w:spacing w:line="360" w:lineRule="auto"/>
        <w:ind w:left="36" w:right="242" w:firstLine="634"/>
        <w:textAlignment w:val="baseline"/>
        <w:rPr>
          <w:rFonts w:hint="eastAsia" w:ascii="仿宋" w:hAnsi="仿宋" w:eastAsia="仿宋" w:cs="仿宋"/>
          <w:snapToGrid w:val="0"/>
          <w:color w:val="000000"/>
          <w:kern w:val="0"/>
          <w:sz w:val="31"/>
          <w:szCs w:val="31"/>
        </w:rPr>
      </w:pPr>
      <w:r>
        <w:rPr>
          <w:rFonts w:ascii="黑体" w:hAnsi="黑体" w:eastAsia="黑体" w:cs="黑体"/>
          <w:snapToGrid w:val="0"/>
          <w:color w:val="000000"/>
          <w:spacing w:val="15"/>
          <w:kern w:val="0"/>
          <w:sz w:val="31"/>
          <w:szCs w:val="31"/>
        </w:rPr>
        <w:t>第三条</w:t>
      </w:r>
      <w:r>
        <w:rPr>
          <w:rFonts w:hint="eastAsia" w:ascii="黑体" w:hAnsi="黑体" w:eastAsia="黑体" w:cs="黑体"/>
          <w:snapToGrid w:val="0"/>
          <w:color w:val="000000"/>
          <w:spacing w:val="15"/>
          <w:kern w:val="0"/>
          <w:sz w:val="31"/>
          <w:szCs w:val="31"/>
        </w:rPr>
        <w:t xml:space="preserve"> </w:t>
      </w:r>
      <w:r>
        <w:rPr>
          <w:rFonts w:hint="eastAsia" w:ascii="仿宋_GB2312" w:hAnsi="仿宋" w:eastAsia="仿宋_GB2312" w:cs="仿宋"/>
          <w:snapToGrid w:val="0"/>
          <w:color w:val="000000"/>
          <w:kern w:val="0"/>
          <w:sz w:val="32"/>
          <w:szCs w:val="32"/>
        </w:rPr>
        <w:t>本办法适用对象为参与苏州市科技计划项目组织实施的相关责任主体，包括</w:t>
      </w:r>
      <w:bookmarkStart w:id="7" w:name="OLE_LINK15"/>
      <w:r>
        <w:rPr>
          <w:rFonts w:hint="eastAsia" w:ascii="仿宋_GB2312" w:hAnsi="仿宋" w:eastAsia="仿宋_GB2312" w:cs="仿宋"/>
          <w:snapToGrid w:val="0"/>
          <w:color w:val="000000"/>
          <w:kern w:val="0"/>
          <w:sz w:val="32"/>
          <w:szCs w:val="32"/>
        </w:rPr>
        <w:t>项目承担（申请）单位、项目承担（申请）人员、项目咨询评审专家、</w:t>
      </w:r>
      <w:bookmarkStart w:id="8" w:name="OLE_LINK20"/>
      <w:bookmarkStart w:id="9" w:name="OLE_LINK19"/>
      <w:r>
        <w:rPr>
          <w:rFonts w:hint="eastAsia" w:ascii="仿宋_GB2312" w:hAnsi="仿宋" w:eastAsia="仿宋_GB2312" w:cs="仿宋"/>
          <w:snapToGrid w:val="0"/>
          <w:color w:val="000000"/>
          <w:kern w:val="0"/>
          <w:sz w:val="32"/>
          <w:szCs w:val="32"/>
        </w:rPr>
        <w:t>第三方科学技术服务机构及其工作人员</w:t>
      </w:r>
      <w:bookmarkEnd w:id="7"/>
      <w:bookmarkEnd w:id="8"/>
      <w:bookmarkEnd w:id="9"/>
      <w:r>
        <w:rPr>
          <w:rFonts w:hint="eastAsia" w:ascii="仿宋_GB2312" w:hAnsi="仿宋" w:eastAsia="仿宋_GB2312" w:cs="仿宋"/>
          <w:snapToGrid w:val="0"/>
          <w:color w:val="000000"/>
          <w:kern w:val="0"/>
          <w:sz w:val="32"/>
          <w:szCs w:val="32"/>
        </w:rPr>
        <w:t>、受苏州市科技局委托履行相关管理职能的项目管理专业机构（以下简称受托管理机构）及其工作人员等。</w:t>
      </w:r>
    </w:p>
    <w:p w14:paraId="549CCC91">
      <w:pPr>
        <w:widowControl/>
        <w:kinsoku w:val="0"/>
        <w:autoSpaceDE w:val="0"/>
        <w:autoSpaceDN w:val="0"/>
        <w:adjustRightInd w:val="0"/>
        <w:snapToGrid w:val="0"/>
        <w:spacing w:line="360" w:lineRule="auto"/>
        <w:ind w:left="18" w:right="244" w:firstLine="647"/>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科技行政管理部门工作人员的违规失信行为管理，按照《中华人民共和国公务员法》及相关规定执行。</w:t>
      </w:r>
    </w:p>
    <w:p w14:paraId="087AC619">
      <w:pPr>
        <w:widowControl/>
        <w:kinsoku w:val="0"/>
        <w:autoSpaceDE w:val="0"/>
        <w:autoSpaceDN w:val="0"/>
        <w:adjustRightInd w:val="0"/>
        <w:snapToGrid w:val="0"/>
        <w:spacing w:line="360" w:lineRule="auto"/>
        <w:ind w:left="17" w:right="95" w:firstLine="653"/>
        <w:textAlignment w:val="baseline"/>
        <w:rPr>
          <w:rFonts w:hint="eastAsia" w:ascii="仿宋" w:hAnsi="仿宋" w:eastAsia="仿宋" w:cs="仿宋"/>
          <w:snapToGrid w:val="0"/>
          <w:color w:val="000000"/>
          <w:spacing w:val="8"/>
          <w:kern w:val="0"/>
          <w:sz w:val="31"/>
          <w:szCs w:val="31"/>
        </w:rPr>
      </w:pPr>
      <w:r>
        <w:rPr>
          <w:rFonts w:ascii="黑体" w:hAnsi="黑体" w:eastAsia="黑体" w:cs="黑体"/>
          <w:snapToGrid w:val="0"/>
          <w:color w:val="000000"/>
          <w:spacing w:val="15"/>
          <w:kern w:val="0"/>
          <w:sz w:val="31"/>
          <w:szCs w:val="31"/>
        </w:rPr>
        <w:t xml:space="preserve">第四条 </w:t>
      </w:r>
      <w:r>
        <w:rPr>
          <w:rFonts w:ascii="仿宋_GB2312" w:hAnsi="仿宋" w:eastAsia="仿宋_GB2312" w:cs="仿宋"/>
          <w:snapToGrid w:val="0"/>
          <w:color w:val="000000"/>
          <w:kern w:val="0"/>
          <w:sz w:val="32"/>
          <w:szCs w:val="32"/>
        </w:rPr>
        <w:t>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负责全市科研诚信统筹协调和宏观指导，制定相关政策措施，推进科研诚信体系建设；指导相关责任主体开展科研诚信管理工作；建立科研信用信息数据库，收集记录管理相关责任主体信用情况，开展信用评价及结果应用；组织科研失信案件查处、信用修复、联合惩戒等工作；加强宣传教育和监督引导，强化科研诚信审核管理。</w:t>
      </w:r>
    </w:p>
    <w:p w14:paraId="111402FB">
      <w:pPr>
        <w:widowControl/>
        <w:kinsoku w:val="0"/>
        <w:autoSpaceDE w:val="0"/>
        <w:autoSpaceDN w:val="0"/>
        <w:adjustRightInd w:val="0"/>
        <w:snapToGrid w:val="0"/>
        <w:spacing w:line="360" w:lineRule="auto"/>
        <w:ind w:left="17" w:right="95" w:firstLine="653"/>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第五条 </w:t>
      </w:r>
      <w:r>
        <w:rPr>
          <w:rFonts w:ascii="仿宋_GB2312" w:hAnsi="仿宋" w:eastAsia="仿宋_GB2312" w:cs="仿宋"/>
          <w:snapToGrid w:val="0"/>
          <w:color w:val="000000"/>
          <w:kern w:val="0"/>
          <w:sz w:val="32"/>
          <w:szCs w:val="32"/>
        </w:rPr>
        <w:t>各</w:t>
      </w:r>
      <w:r>
        <w:rPr>
          <w:rFonts w:hint="eastAsia" w:ascii="仿宋_GB2312" w:hAnsi="仿宋" w:eastAsia="仿宋_GB2312" w:cs="仿宋"/>
          <w:snapToGrid w:val="0"/>
          <w:color w:val="000000"/>
          <w:kern w:val="0"/>
          <w:sz w:val="32"/>
          <w:szCs w:val="32"/>
        </w:rPr>
        <w:t>县级市（</w:t>
      </w:r>
      <w:r>
        <w:rPr>
          <w:rFonts w:ascii="仿宋_GB2312" w:hAnsi="仿宋" w:eastAsia="仿宋_GB2312" w:cs="仿宋"/>
          <w:snapToGrid w:val="0"/>
          <w:color w:val="000000"/>
          <w:kern w:val="0"/>
          <w:sz w:val="32"/>
          <w:szCs w:val="32"/>
        </w:rPr>
        <w:t>区</w:t>
      </w:r>
      <w:r>
        <w:rPr>
          <w:rFonts w:hint="eastAsia" w:ascii="仿宋_GB2312" w:hAnsi="仿宋" w:eastAsia="仿宋_GB2312" w:cs="仿宋"/>
          <w:snapToGrid w:val="0"/>
          <w:color w:val="000000"/>
          <w:kern w:val="0"/>
          <w:sz w:val="32"/>
          <w:szCs w:val="32"/>
        </w:rPr>
        <w:t>）</w:t>
      </w:r>
      <w:r>
        <w:rPr>
          <w:rFonts w:ascii="仿宋_GB2312" w:hAnsi="仿宋" w:eastAsia="仿宋_GB2312" w:cs="仿宋"/>
          <w:snapToGrid w:val="0"/>
          <w:color w:val="000000"/>
          <w:kern w:val="0"/>
          <w:sz w:val="32"/>
          <w:szCs w:val="32"/>
        </w:rPr>
        <w:t>科技行政管理部门负责推进本行政区域科研诚信体系建设；加强宣传教育和监督引导，指导相关责任主体开展科研诚信管理工作；配合开展科研信用情况的收集记录；协调配合开展失信行为的调查处理和联合惩戒工作。</w:t>
      </w:r>
    </w:p>
    <w:p w14:paraId="2CCE100F">
      <w:pPr>
        <w:widowControl/>
        <w:kinsoku w:val="0"/>
        <w:autoSpaceDE w:val="0"/>
        <w:autoSpaceDN w:val="0"/>
        <w:adjustRightInd w:val="0"/>
        <w:snapToGrid w:val="0"/>
        <w:spacing w:line="360" w:lineRule="auto"/>
        <w:ind w:left="23" w:firstLine="647"/>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 xml:space="preserve">第六条 </w:t>
      </w:r>
      <w:r>
        <w:rPr>
          <w:rFonts w:ascii="仿宋_GB2312" w:hAnsi="仿宋" w:eastAsia="仿宋_GB2312" w:cs="仿宋"/>
          <w:snapToGrid w:val="0"/>
          <w:color w:val="000000"/>
          <w:kern w:val="0"/>
          <w:sz w:val="32"/>
          <w:szCs w:val="32"/>
        </w:rPr>
        <w:t>市科技计划</w:t>
      </w:r>
      <w:r>
        <w:rPr>
          <w:rFonts w:hint="eastAsia" w:ascii="仿宋_GB2312" w:hAnsi="仿宋" w:eastAsia="仿宋_GB2312" w:cs="仿宋"/>
          <w:snapToGrid w:val="0"/>
          <w:color w:val="000000"/>
          <w:kern w:val="0"/>
          <w:sz w:val="32"/>
          <w:szCs w:val="32"/>
        </w:rPr>
        <w:t>项目承担（申请）单位、项目承担（申请）人员、项目咨询评审专家、第三方科学技术服务机构及其工作人员</w:t>
      </w:r>
      <w:r>
        <w:rPr>
          <w:rFonts w:ascii="仿宋_GB2312" w:hAnsi="仿宋" w:eastAsia="仿宋_GB2312" w:cs="仿宋"/>
          <w:snapToGrid w:val="0"/>
          <w:color w:val="000000"/>
          <w:kern w:val="0"/>
          <w:sz w:val="32"/>
          <w:szCs w:val="32"/>
        </w:rPr>
        <w:t>等是科研诚信建设的责任主体，应严格自律，遵守科研诚信各项规定，履行诚信主体责任。</w:t>
      </w:r>
    </w:p>
    <w:p w14:paraId="6DB3E33F">
      <w:pPr>
        <w:widowControl/>
        <w:kinsoku w:val="0"/>
        <w:autoSpaceDE w:val="0"/>
        <w:autoSpaceDN w:val="0"/>
        <w:adjustRightInd w:val="0"/>
        <w:snapToGrid w:val="0"/>
        <w:spacing w:line="360" w:lineRule="auto"/>
        <w:ind w:right="97"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从事科研活动的各类法人主体，应当加强内部科研诚信体系建设，可以通过章程、内部规章制度等方式对本单位员工遵守科研诚信要求及责任追究作出明确规定或者约定，构建良好的科研诚信体系，弘扬科学家精神，对违背科研诚信的行为进行调查处理。</w:t>
      </w:r>
    </w:p>
    <w:p w14:paraId="4315EF65">
      <w:pPr>
        <w:widowControl/>
        <w:kinsoku w:val="0"/>
        <w:autoSpaceDE w:val="0"/>
        <w:autoSpaceDN w:val="0"/>
        <w:adjustRightInd w:val="0"/>
        <w:snapToGrid w:val="0"/>
        <w:spacing w:line="360" w:lineRule="auto"/>
        <w:ind w:right="97" w:firstLine="680" w:firstLineChars="200"/>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第七条 </w:t>
      </w:r>
      <w:r>
        <w:rPr>
          <w:rFonts w:ascii="仿宋_GB2312" w:hAnsi="仿宋" w:eastAsia="仿宋_GB2312" w:cs="仿宋"/>
          <w:snapToGrid w:val="0"/>
          <w:color w:val="000000"/>
          <w:kern w:val="0"/>
          <w:sz w:val="32"/>
          <w:szCs w:val="32"/>
        </w:rPr>
        <w:t>市科技计划项目科研诚信管理遵循科学规范、客观公正、鼓励创新、宽容失败、防范风险、奖惩并重的原则。</w:t>
      </w:r>
    </w:p>
    <w:p w14:paraId="0A0354EF">
      <w:pPr>
        <w:widowControl/>
        <w:kinsoku w:val="0"/>
        <w:autoSpaceDE w:val="0"/>
        <w:autoSpaceDN w:val="0"/>
        <w:adjustRightInd w:val="0"/>
        <w:snapToGrid w:val="0"/>
        <w:spacing w:line="360" w:lineRule="auto"/>
        <w:textAlignment w:val="baseline"/>
        <w:rPr>
          <w:rFonts w:ascii="Arial" w:hAnsi="Arial" w:eastAsia="Arial" w:cs="Arial"/>
          <w:snapToGrid w:val="0"/>
          <w:color w:val="000000"/>
          <w:kern w:val="0"/>
          <w:szCs w:val="21"/>
        </w:rPr>
      </w:pPr>
    </w:p>
    <w:p w14:paraId="0400B51B">
      <w:pPr>
        <w:widowControl/>
        <w:kinsoku w:val="0"/>
        <w:autoSpaceDE w:val="0"/>
        <w:autoSpaceDN w:val="0"/>
        <w:adjustRightInd w:val="0"/>
        <w:snapToGrid w:val="0"/>
        <w:spacing w:line="360" w:lineRule="auto"/>
        <w:ind w:left="2982"/>
        <w:textAlignment w:val="baseline"/>
        <w:rPr>
          <w:rFonts w:hint="eastAsia" w:ascii="黑体" w:hAnsi="黑体" w:eastAsia="黑体" w:cs="黑体"/>
          <w:snapToGrid w:val="0"/>
          <w:color w:val="000000"/>
          <w:kern w:val="0"/>
          <w:sz w:val="31"/>
          <w:szCs w:val="31"/>
        </w:rPr>
      </w:pPr>
      <w:r>
        <w:rPr>
          <w:rFonts w:ascii="黑体" w:hAnsi="黑体" w:eastAsia="黑体" w:cs="黑体"/>
          <w:snapToGrid w:val="0"/>
          <w:color w:val="000000"/>
          <w:spacing w:val="7"/>
          <w:kern w:val="0"/>
          <w:position w:val="1"/>
          <w:sz w:val="31"/>
          <w:szCs w:val="31"/>
        </w:rPr>
        <w:t>第二章 管理机制</w:t>
      </w:r>
    </w:p>
    <w:p w14:paraId="21192DA1">
      <w:pPr>
        <w:widowControl/>
        <w:kinsoku w:val="0"/>
        <w:autoSpaceDE w:val="0"/>
        <w:autoSpaceDN w:val="0"/>
        <w:adjustRightInd w:val="0"/>
        <w:snapToGrid w:val="0"/>
        <w:spacing w:line="360" w:lineRule="auto"/>
        <w:ind w:right="6" w:firstLine="680" w:firstLineChars="200"/>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position w:val="1"/>
          <w:sz w:val="31"/>
          <w:szCs w:val="31"/>
        </w:rPr>
        <w:t xml:space="preserve">第八条 </w:t>
      </w:r>
      <w:r>
        <w:rPr>
          <w:rFonts w:ascii="仿宋_GB2312" w:hAnsi="仿宋" w:eastAsia="仿宋_GB2312" w:cs="仿宋"/>
          <w:snapToGrid w:val="0"/>
          <w:color w:val="000000"/>
          <w:kern w:val="0"/>
          <w:sz w:val="32"/>
          <w:szCs w:val="32"/>
        </w:rPr>
        <w:t>建立完善科研诚信承诺和审核制度。责任主体在申报、参与科技计划项目前应当签署科研诚信承诺书。承诺书应当载明</w:t>
      </w:r>
      <w:r>
        <w:rPr>
          <w:rFonts w:hint="eastAsia" w:ascii="仿宋_GB2312" w:hAnsi="仿宋" w:eastAsia="仿宋_GB2312" w:cs="仿宋"/>
          <w:snapToGrid w:val="0"/>
          <w:color w:val="000000"/>
          <w:kern w:val="0"/>
          <w:sz w:val="32"/>
          <w:szCs w:val="32"/>
        </w:rPr>
        <w:t>承诺事项和</w:t>
      </w:r>
      <w:r>
        <w:rPr>
          <w:rFonts w:ascii="仿宋_GB2312" w:hAnsi="仿宋" w:eastAsia="仿宋_GB2312" w:cs="仿宋"/>
          <w:snapToGrid w:val="0"/>
          <w:color w:val="000000"/>
          <w:kern w:val="0"/>
          <w:sz w:val="32"/>
          <w:szCs w:val="32"/>
        </w:rPr>
        <w:t>违反承诺的</w:t>
      </w:r>
      <w:r>
        <w:rPr>
          <w:rFonts w:hint="eastAsia" w:ascii="仿宋_GB2312" w:hAnsi="仿宋" w:eastAsia="仿宋_GB2312" w:cs="仿宋"/>
          <w:snapToGrid w:val="0"/>
          <w:color w:val="000000"/>
          <w:kern w:val="0"/>
          <w:sz w:val="32"/>
          <w:szCs w:val="32"/>
        </w:rPr>
        <w:t>责任</w:t>
      </w:r>
      <w:r>
        <w:rPr>
          <w:rFonts w:ascii="仿宋_GB2312" w:hAnsi="仿宋" w:eastAsia="仿宋_GB2312" w:cs="仿宋"/>
          <w:snapToGrid w:val="0"/>
          <w:color w:val="000000"/>
          <w:kern w:val="0"/>
          <w:sz w:val="32"/>
          <w:szCs w:val="32"/>
        </w:rPr>
        <w:t>，作为事中、事后监管的重要依据。市</w:t>
      </w:r>
      <w:r>
        <w:rPr>
          <w:rFonts w:hint="eastAsia" w:ascii="仿宋_GB2312" w:hAnsi="仿宋" w:eastAsia="仿宋_GB2312" w:cs="仿宋"/>
          <w:snapToGrid w:val="0"/>
          <w:color w:val="000000"/>
          <w:kern w:val="0"/>
          <w:sz w:val="32"/>
          <w:szCs w:val="32"/>
        </w:rPr>
        <w:t>科技局</w:t>
      </w:r>
      <w:r>
        <w:rPr>
          <w:rFonts w:ascii="仿宋_GB2312" w:hAnsi="仿宋" w:eastAsia="仿宋_GB2312" w:cs="仿宋"/>
          <w:snapToGrid w:val="0"/>
          <w:color w:val="000000"/>
          <w:kern w:val="0"/>
          <w:sz w:val="32"/>
          <w:szCs w:val="32"/>
        </w:rPr>
        <w:t>对申报、参与科技计划项目的责任主体开展科研诚信审核，</w:t>
      </w:r>
      <w:r>
        <w:rPr>
          <w:rFonts w:hint="eastAsia" w:ascii="仿宋_GB2312" w:hAnsi="仿宋" w:eastAsia="仿宋_GB2312" w:cs="仿宋"/>
          <w:snapToGrid w:val="0"/>
          <w:color w:val="000000"/>
          <w:kern w:val="0"/>
          <w:sz w:val="32"/>
          <w:szCs w:val="32"/>
        </w:rPr>
        <w:t>参考国家公共信用综合评价结果，</w:t>
      </w:r>
      <w:r>
        <w:rPr>
          <w:rFonts w:ascii="仿宋_GB2312" w:hAnsi="仿宋" w:eastAsia="仿宋_GB2312" w:cs="仿宋"/>
          <w:snapToGrid w:val="0"/>
          <w:color w:val="000000"/>
          <w:kern w:val="0"/>
          <w:sz w:val="32"/>
          <w:szCs w:val="32"/>
        </w:rPr>
        <w:t>将具备良好诚信状况作为通过审核的必要条件</w:t>
      </w:r>
      <w:r>
        <w:rPr>
          <w:rFonts w:hint="eastAsia" w:ascii="仿宋_GB2312" w:hAnsi="仿宋" w:eastAsia="仿宋_GB2312" w:cs="仿宋"/>
          <w:snapToGrid w:val="0"/>
          <w:color w:val="000000"/>
          <w:kern w:val="0"/>
          <w:sz w:val="32"/>
          <w:szCs w:val="32"/>
        </w:rPr>
        <w:t>，对</w:t>
      </w:r>
      <w:bookmarkStart w:id="10" w:name="OLE_LINK18"/>
      <w:r>
        <w:rPr>
          <w:rFonts w:hint="eastAsia" w:ascii="仿宋_GB2312" w:hAnsi="仿宋" w:eastAsia="仿宋_GB2312" w:cs="仿宋"/>
          <w:snapToGrid w:val="0"/>
          <w:color w:val="000000"/>
          <w:kern w:val="0"/>
          <w:sz w:val="32"/>
          <w:szCs w:val="32"/>
        </w:rPr>
        <w:t>严重违背科研诚信人员，实行“一票否决”</w:t>
      </w:r>
      <w:r>
        <w:rPr>
          <w:rFonts w:ascii="仿宋_GB2312" w:hAnsi="仿宋" w:eastAsia="仿宋_GB2312" w:cs="仿宋"/>
          <w:snapToGrid w:val="0"/>
          <w:color w:val="000000"/>
          <w:kern w:val="0"/>
          <w:sz w:val="32"/>
          <w:szCs w:val="32"/>
        </w:rPr>
        <w:t>。</w:t>
      </w:r>
    </w:p>
    <w:bookmarkEnd w:id="10"/>
    <w:p w14:paraId="322D508E">
      <w:pPr>
        <w:widowControl/>
        <w:kinsoku w:val="0"/>
        <w:autoSpaceDE w:val="0"/>
        <w:autoSpaceDN w:val="0"/>
        <w:adjustRightInd w:val="0"/>
        <w:snapToGrid w:val="0"/>
        <w:spacing w:line="360" w:lineRule="auto"/>
        <w:ind w:right="6" w:firstLine="680" w:firstLineChars="200"/>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第九条 </w:t>
      </w:r>
      <w:r>
        <w:rPr>
          <w:rFonts w:ascii="仿宋_GB2312" w:hAnsi="仿宋" w:eastAsia="仿宋_GB2312" w:cs="仿宋"/>
          <w:snapToGrid w:val="0"/>
          <w:color w:val="000000"/>
          <w:kern w:val="0"/>
          <w:sz w:val="32"/>
          <w:szCs w:val="32"/>
        </w:rPr>
        <w:t>建立科研失信惩戒制度。建立科研诚信异常名录和覆盖科技计划项目管理全过程的科研诚信监督体系，对科研失信行为予以记录并实施相应惩戒措施。对严重失信行为责任主体，在一定期限内不予受理其申报市科技计划项目。</w:t>
      </w:r>
    </w:p>
    <w:p w14:paraId="7F23402E">
      <w:pPr>
        <w:widowControl/>
        <w:kinsoku w:val="0"/>
        <w:autoSpaceDE w:val="0"/>
        <w:autoSpaceDN w:val="0"/>
        <w:adjustRightInd w:val="0"/>
        <w:snapToGrid w:val="0"/>
        <w:spacing w:line="360" w:lineRule="auto"/>
        <w:ind w:left="19" w:right="256" w:firstLine="651"/>
        <w:textAlignment w:val="baseline"/>
        <w:rPr>
          <w:rFonts w:hint="eastAsia" w:ascii="仿宋" w:hAnsi="仿宋" w:eastAsia="仿宋" w:cs="仿宋"/>
          <w:snapToGrid w:val="0"/>
          <w:color w:val="000000"/>
          <w:kern w:val="0"/>
          <w:sz w:val="31"/>
          <w:szCs w:val="31"/>
        </w:rPr>
      </w:pPr>
      <w:r>
        <w:rPr>
          <w:rFonts w:ascii="黑体" w:hAnsi="黑体" w:eastAsia="黑体" w:cs="黑体"/>
          <w:snapToGrid w:val="0"/>
          <w:color w:val="000000"/>
          <w:spacing w:val="15"/>
          <w:kern w:val="0"/>
          <w:sz w:val="31"/>
          <w:szCs w:val="31"/>
        </w:rPr>
        <w:t xml:space="preserve">第十条 </w:t>
      </w:r>
      <w:r>
        <w:rPr>
          <w:rFonts w:ascii="仿宋_GB2312" w:hAnsi="仿宋" w:eastAsia="仿宋_GB2312" w:cs="仿宋"/>
          <w:snapToGrid w:val="0"/>
          <w:color w:val="000000"/>
          <w:kern w:val="0"/>
          <w:sz w:val="32"/>
          <w:szCs w:val="32"/>
        </w:rPr>
        <w:t>建立科研守信激励制度。对信用良好的责任主体，减少监督检查频次，加大科研创新支持力度。</w:t>
      </w:r>
    </w:p>
    <w:p w14:paraId="0F58697E">
      <w:pPr>
        <w:widowControl/>
        <w:kinsoku w:val="0"/>
        <w:autoSpaceDE w:val="0"/>
        <w:autoSpaceDN w:val="0"/>
        <w:adjustRightInd w:val="0"/>
        <w:snapToGrid w:val="0"/>
        <w:spacing w:line="360" w:lineRule="auto"/>
        <w:ind w:left="25" w:right="256" w:firstLine="645"/>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第十一条 </w:t>
      </w:r>
      <w:r>
        <w:rPr>
          <w:rFonts w:ascii="仿宋_GB2312" w:hAnsi="仿宋" w:eastAsia="仿宋_GB2312" w:cs="仿宋"/>
          <w:snapToGrid w:val="0"/>
          <w:color w:val="000000"/>
          <w:kern w:val="0"/>
          <w:sz w:val="32"/>
          <w:szCs w:val="32"/>
        </w:rPr>
        <w:t>建立诚信记录动态调整制度。根据科研诚信责任主体守信、失信状态更新诚信记录，对处理惩戒期限届满、已完成信用修复等符合移出条件的失信主体，及时移出科研诚信异常名录。</w:t>
      </w:r>
    </w:p>
    <w:p w14:paraId="2A5C574B">
      <w:pPr>
        <w:widowControl/>
        <w:kinsoku w:val="0"/>
        <w:autoSpaceDE w:val="0"/>
        <w:autoSpaceDN w:val="0"/>
        <w:adjustRightInd w:val="0"/>
        <w:snapToGrid w:val="0"/>
        <w:spacing w:line="360" w:lineRule="auto"/>
        <w:ind w:left="34" w:firstLine="636"/>
        <w:textAlignment w:val="baseline"/>
        <w:rPr>
          <w:rFonts w:ascii="Arial" w:hAnsi="Arial" w:eastAsia="Arial" w:cs="Arial"/>
          <w:snapToGrid w:val="0"/>
          <w:color w:val="000000"/>
          <w:kern w:val="0"/>
          <w:szCs w:val="21"/>
        </w:rPr>
      </w:pPr>
      <w:r>
        <w:rPr>
          <w:rFonts w:ascii="黑体" w:hAnsi="黑体" w:eastAsia="黑体" w:cs="黑体"/>
          <w:snapToGrid w:val="0"/>
          <w:color w:val="000000"/>
          <w:spacing w:val="15"/>
          <w:kern w:val="0"/>
          <w:sz w:val="31"/>
          <w:szCs w:val="31"/>
        </w:rPr>
        <w:t xml:space="preserve">第十二条 </w:t>
      </w:r>
      <w:r>
        <w:rPr>
          <w:rFonts w:ascii="仿宋_GB2312" w:hAnsi="仿宋" w:eastAsia="仿宋_GB2312" w:cs="仿宋"/>
          <w:snapToGrid w:val="0"/>
          <w:color w:val="000000"/>
          <w:kern w:val="0"/>
          <w:sz w:val="32"/>
          <w:szCs w:val="32"/>
        </w:rPr>
        <w:t>建立科研诚信信息共享制度。加强与</w:t>
      </w:r>
      <w:r>
        <w:rPr>
          <w:rFonts w:hint="eastAsia" w:ascii="仿宋_GB2312" w:hAnsi="仿宋" w:eastAsia="仿宋_GB2312" w:cs="仿宋"/>
          <w:snapToGrid w:val="0"/>
          <w:color w:val="000000"/>
          <w:kern w:val="0"/>
          <w:sz w:val="32"/>
          <w:szCs w:val="32"/>
        </w:rPr>
        <w:t>江苏省科技监督信息管理平台</w:t>
      </w:r>
      <w:r>
        <w:rPr>
          <w:rFonts w:ascii="仿宋_GB2312" w:hAnsi="仿宋" w:eastAsia="仿宋_GB2312" w:cs="仿宋"/>
          <w:snapToGrid w:val="0"/>
          <w:color w:val="000000"/>
          <w:kern w:val="0"/>
          <w:sz w:val="32"/>
          <w:szCs w:val="32"/>
        </w:rPr>
        <w:t>和</w:t>
      </w:r>
      <w:r>
        <w:rPr>
          <w:rFonts w:hint="eastAsia" w:ascii="仿宋_GB2312" w:hAnsi="仿宋" w:eastAsia="仿宋_GB2312" w:cs="仿宋"/>
          <w:snapToGrid w:val="0"/>
          <w:color w:val="000000"/>
          <w:kern w:val="0"/>
          <w:sz w:val="32"/>
          <w:szCs w:val="32"/>
        </w:rPr>
        <w:t>苏州市公共信用信息平台</w:t>
      </w:r>
      <w:r>
        <w:rPr>
          <w:rFonts w:ascii="仿宋_GB2312" w:hAnsi="仿宋" w:eastAsia="仿宋_GB2312" w:cs="仿宋"/>
          <w:snapToGrid w:val="0"/>
          <w:color w:val="000000"/>
          <w:kern w:val="0"/>
          <w:sz w:val="32"/>
          <w:szCs w:val="32"/>
        </w:rPr>
        <w:t>的</w:t>
      </w:r>
      <w:r>
        <w:rPr>
          <w:rFonts w:hint="eastAsia" w:ascii="仿宋_GB2312" w:hAnsi="仿宋" w:eastAsia="仿宋_GB2312" w:cs="仿宋"/>
          <w:snapToGrid w:val="0"/>
          <w:color w:val="000000"/>
          <w:kern w:val="0"/>
          <w:sz w:val="32"/>
          <w:szCs w:val="32"/>
        </w:rPr>
        <w:t>信息汇交</w:t>
      </w:r>
      <w:r>
        <w:rPr>
          <w:rFonts w:ascii="仿宋_GB2312" w:hAnsi="仿宋" w:eastAsia="仿宋_GB2312" w:cs="仿宋"/>
          <w:snapToGrid w:val="0"/>
          <w:color w:val="000000"/>
          <w:kern w:val="0"/>
          <w:sz w:val="32"/>
          <w:szCs w:val="32"/>
        </w:rPr>
        <w:t>，推动科研诚信信息跨部门、跨区域共享共用。</w:t>
      </w:r>
    </w:p>
    <w:p w14:paraId="55FDC89F">
      <w:pPr>
        <w:widowControl/>
        <w:kinsoku w:val="0"/>
        <w:autoSpaceDE w:val="0"/>
        <w:autoSpaceDN w:val="0"/>
        <w:adjustRightInd w:val="0"/>
        <w:snapToGrid w:val="0"/>
        <w:spacing w:line="360" w:lineRule="auto"/>
        <w:textAlignment w:val="baseline"/>
        <w:rPr>
          <w:rFonts w:ascii="Arial" w:hAnsi="Arial" w:eastAsia="Arial" w:cs="Arial"/>
          <w:snapToGrid w:val="0"/>
          <w:color w:val="000000"/>
          <w:kern w:val="0"/>
          <w:szCs w:val="21"/>
        </w:rPr>
      </w:pPr>
    </w:p>
    <w:p w14:paraId="05BF82C4">
      <w:pPr>
        <w:widowControl/>
        <w:kinsoku w:val="0"/>
        <w:autoSpaceDE w:val="0"/>
        <w:autoSpaceDN w:val="0"/>
        <w:adjustRightInd w:val="0"/>
        <w:snapToGrid w:val="0"/>
        <w:spacing w:line="360" w:lineRule="auto"/>
        <w:ind w:left="2663"/>
        <w:textAlignment w:val="baseline"/>
        <w:rPr>
          <w:rFonts w:hint="eastAsia" w:ascii="黑体" w:hAnsi="黑体" w:eastAsia="黑体" w:cs="黑体"/>
          <w:snapToGrid w:val="0"/>
          <w:color w:val="000000"/>
          <w:kern w:val="0"/>
          <w:sz w:val="31"/>
          <w:szCs w:val="31"/>
        </w:rPr>
      </w:pPr>
      <w:r>
        <w:rPr>
          <w:rFonts w:ascii="黑体" w:hAnsi="黑体" w:eastAsia="黑体" w:cs="黑体"/>
          <w:snapToGrid w:val="0"/>
          <w:color w:val="000000"/>
          <w:spacing w:val="7"/>
          <w:kern w:val="0"/>
          <w:position w:val="1"/>
          <w:sz w:val="31"/>
          <w:szCs w:val="31"/>
        </w:rPr>
        <w:t>第三章 科研失信行为</w:t>
      </w:r>
    </w:p>
    <w:p w14:paraId="565F9A0C">
      <w:pPr>
        <w:widowControl/>
        <w:kinsoku w:val="0"/>
        <w:autoSpaceDE w:val="0"/>
        <w:autoSpaceDN w:val="0"/>
        <w:adjustRightInd w:val="0"/>
        <w:snapToGrid w:val="0"/>
        <w:spacing w:line="360" w:lineRule="auto"/>
        <w:ind w:left="671"/>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8"/>
          <w:kern w:val="0"/>
          <w:position w:val="1"/>
          <w:sz w:val="31"/>
          <w:szCs w:val="31"/>
        </w:rPr>
        <w:t xml:space="preserve">第十三条 </w:t>
      </w:r>
      <w:r>
        <w:rPr>
          <w:rFonts w:ascii="仿宋_GB2312" w:hAnsi="仿宋" w:eastAsia="仿宋_GB2312" w:cs="仿宋"/>
          <w:snapToGrid w:val="0"/>
          <w:color w:val="000000"/>
          <w:kern w:val="0"/>
          <w:sz w:val="32"/>
          <w:szCs w:val="32"/>
        </w:rPr>
        <w:t>项目承担</w:t>
      </w:r>
      <w:r>
        <w:rPr>
          <w:rFonts w:hint="eastAsia" w:ascii="仿宋_GB2312" w:hAnsi="仿宋" w:eastAsia="仿宋_GB2312" w:cs="仿宋"/>
          <w:snapToGrid w:val="0"/>
          <w:color w:val="000000"/>
          <w:kern w:val="0"/>
          <w:sz w:val="32"/>
          <w:szCs w:val="32"/>
        </w:rPr>
        <w:t>（申请）</w:t>
      </w:r>
      <w:r>
        <w:rPr>
          <w:rFonts w:ascii="仿宋_GB2312" w:hAnsi="仿宋" w:eastAsia="仿宋_GB2312" w:cs="仿宋"/>
          <w:snapToGrid w:val="0"/>
          <w:color w:val="000000"/>
          <w:kern w:val="0"/>
          <w:sz w:val="32"/>
          <w:szCs w:val="32"/>
        </w:rPr>
        <w:t>单位的失信行为：</w:t>
      </w:r>
    </w:p>
    <w:p w14:paraId="64170987">
      <w:pPr>
        <w:widowControl/>
        <w:kinsoku w:val="0"/>
        <w:autoSpaceDE w:val="0"/>
        <w:autoSpaceDN w:val="0"/>
        <w:adjustRightInd w:val="0"/>
        <w:snapToGrid w:val="0"/>
        <w:spacing w:line="360" w:lineRule="auto"/>
        <w:ind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在项目的申报、评审、实施、验收、监督检查和评估评价等活动中，提供的材料及相关重要信息与实际情况不符，或采取造假、串通、行贿、利益交换等不正当手段意图获取科技计划项目、科研经费、资质认定等行为；</w:t>
      </w:r>
    </w:p>
    <w:p w14:paraId="44B839BC">
      <w:pPr>
        <w:widowControl/>
        <w:kinsoku w:val="0"/>
        <w:autoSpaceDE w:val="0"/>
        <w:autoSpaceDN w:val="0"/>
        <w:adjustRightInd w:val="0"/>
        <w:snapToGrid w:val="0"/>
        <w:spacing w:line="360" w:lineRule="auto"/>
        <w:ind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（二）组织“打招呼”“走关系”等请托行为；</w:t>
      </w:r>
    </w:p>
    <w:p w14:paraId="1A985725">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（三）无正当理由拒不履行项目任务书约定的义务；</w:t>
      </w:r>
    </w:p>
    <w:p w14:paraId="742B5534">
      <w:pPr>
        <w:widowControl/>
        <w:kinsoku w:val="0"/>
        <w:autoSpaceDE w:val="0"/>
        <w:autoSpaceDN w:val="0"/>
        <w:adjustRightInd w:val="0"/>
        <w:snapToGrid w:val="0"/>
        <w:spacing w:line="360" w:lineRule="auto"/>
        <w:ind w:left="30" w:right="81" w:firstLine="62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（四）未履行重大事项报告责任，不按规定要求报告项目实施过程中出现的重大事项。未经报告批准，不按期申请项目验收等行为；</w:t>
      </w:r>
    </w:p>
    <w:p w14:paraId="75A8E7E9">
      <w:pPr>
        <w:widowControl/>
        <w:kinsoku w:val="0"/>
        <w:autoSpaceDE w:val="0"/>
        <w:autoSpaceDN w:val="0"/>
        <w:adjustRightInd w:val="0"/>
        <w:snapToGrid w:val="0"/>
        <w:spacing w:line="360" w:lineRule="auto"/>
        <w:ind w:left="53" w:right="83" w:firstLine="60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（五）管理失职，隐瞒、迁就、包庇、纵容本单位人员的违法违规活动，造成负面影响或财政资金损失；</w:t>
      </w:r>
    </w:p>
    <w:p w14:paraId="21B19F36">
      <w:pPr>
        <w:widowControl/>
        <w:kinsoku w:val="0"/>
        <w:autoSpaceDE w:val="0"/>
        <w:autoSpaceDN w:val="0"/>
        <w:adjustRightInd w:val="0"/>
        <w:snapToGrid w:val="0"/>
        <w:spacing w:line="360" w:lineRule="auto"/>
        <w:ind w:left="32" w:right="81" w:firstLine="626"/>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（六）套取、转移、挪用、截留、私分科技计划项目财政资金；</w:t>
      </w:r>
    </w:p>
    <w:p w14:paraId="77420BA9">
      <w:pPr>
        <w:widowControl/>
        <w:kinsoku w:val="0"/>
        <w:autoSpaceDE w:val="0"/>
        <w:autoSpaceDN w:val="0"/>
        <w:adjustRightInd w:val="0"/>
        <w:snapToGrid w:val="0"/>
        <w:spacing w:line="360" w:lineRule="auto"/>
        <w:ind w:left="32" w:firstLine="626"/>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（七）不配合监督检查或考核评估工作，提供虚假材料， 对相关处理意见拒不整改或虚假整改；</w:t>
      </w:r>
    </w:p>
    <w:p w14:paraId="181085A9">
      <w:pPr>
        <w:widowControl/>
        <w:kinsoku w:val="0"/>
        <w:autoSpaceDE w:val="0"/>
        <w:autoSpaceDN w:val="0"/>
        <w:adjustRightInd w:val="0"/>
        <w:snapToGrid w:val="0"/>
        <w:spacing w:line="360" w:lineRule="auto"/>
        <w:ind w:left="47" w:right="81" w:firstLine="611"/>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（八）无正当理由不按期退回应退财政科技计划项目经费；</w:t>
      </w:r>
    </w:p>
    <w:p w14:paraId="079BAFF4">
      <w:pPr>
        <w:widowControl/>
        <w:kinsoku w:val="0"/>
        <w:autoSpaceDE w:val="0"/>
        <w:autoSpaceDN w:val="0"/>
        <w:adjustRightInd w:val="0"/>
        <w:snapToGrid w:val="0"/>
        <w:spacing w:line="360" w:lineRule="auto"/>
        <w:ind w:left="19" w:right="83" w:firstLine="64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（九）开展危害国家安全、损害社会公共利益、危害人体健康的科学技术活动；</w:t>
      </w:r>
    </w:p>
    <w:p w14:paraId="24A64B1D">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（十）违反国家科学技术活动保密相关规定；</w:t>
      </w:r>
    </w:p>
    <w:p w14:paraId="1A2E28C4">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（十一）未按规定进行科技伦理审查并监督执行；</w:t>
      </w:r>
    </w:p>
    <w:p w14:paraId="63CC637F">
      <w:pPr>
        <w:widowControl/>
        <w:kinsoku w:val="0"/>
        <w:autoSpaceDE w:val="0"/>
        <w:autoSpaceDN w:val="0"/>
        <w:adjustRightInd w:val="0"/>
        <w:snapToGrid w:val="0"/>
        <w:spacing w:line="360" w:lineRule="auto"/>
        <w:ind w:left="638" w:leftChars="304" w:right="81"/>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（十二）法律、法规、规章规定的其他相关违规行为。</w:t>
      </w:r>
      <w:r>
        <w:rPr>
          <w:rFonts w:hint="eastAsia" w:ascii="仿宋_GB2312" w:hAnsi="仿宋" w:eastAsia="仿宋_GB2312" w:cs="仿宋"/>
          <w:snapToGrid w:val="0"/>
          <w:color w:val="000000"/>
          <w:kern w:val="0"/>
          <w:sz w:val="32"/>
          <w:szCs w:val="32"/>
        </w:rPr>
        <w:t xml:space="preserve">       </w:t>
      </w:r>
      <w:r>
        <w:rPr>
          <w:rFonts w:ascii="黑体" w:hAnsi="黑体" w:eastAsia="黑体" w:cs="黑体"/>
          <w:snapToGrid w:val="0"/>
          <w:color w:val="000000"/>
          <w:spacing w:val="8"/>
          <w:kern w:val="0"/>
          <w:sz w:val="31"/>
          <w:szCs w:val="31"/>
        </w:rPr>
        <w:t xml:space="preserve">第十四条 </w:t>
      </w:r>
      <w:r>
        <w:rPr>
          <w:rFonts w:ascii="仿宋_GB2312" w:hAnsi="仿宋" w:eastAsia="仿宋_GB2312" w:cs="仿宋"/>
          <w:snapToGrid w:val="0"/>
          <w:color w:val="000000"/>
          <w:kern w:val="0"/>
          <w:sz w:val="32"/>
          <w:szCs w:val="32"/>
        </w:rPr>
        <w:t>项目</w:t>
      </w:r>
      <w:r>
        <w:rPr>
          <w:rFonts w:hint="eastAsia" w:ascii="仿宋_GB2312" w:hAnsi="仿宋" w:eastAsia="仿宋_GB2312" w:cs="仿宋"/>
          <w:snapToGrid w:val="0"/>
          <w:color w:val="000000"/>
          <w:kern w:val="0"/>
          <w:sz w:val="32"/>
          <w:szCs w:val="32"/>
        </w:rPr>
        <w:t>承担（申请）人员</w:t>
      </w:r>
      <w:r>
        <w:rPr>
          <w:rFonts w:ascii="仿宋_GB2312" w:hAnsi="仿宋" w:eastAsia="仿宋_GB2312" w:cs="仿宋"/>
          <w:snapToGrid w:val="0"/>
          <w:color w:val="000000"/>
          <w:kern w:val="0"/>
          <w:sz w:val="32"/>
          <w:szCs w:val="32"/>
        </w:rPr>
        <w:t>的失信行为：</w:t>
      </w:r>
    </w:p>
    <w:p w14:paraId="30113CA3">
      <w:pPr>
        <w:widowControl/>
        <w:kinsoku w:val="0"/>
        <w:autoSpaceDE w:val="0"/>
        <w:autoSpaceDN w:val="0"/>
        <w:adjustRightInd w:val="0"/>
        <w:snapToGrid w:val="0"/>
        <w:spacing w:line="360" w:lineRule="auto"/>
        <w:ind w:left="26" w:right="81" w:firstLine="632"/>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在项目的申报、评审、实施、验收、监督检查和评估评价等活动中，提供的材料及相关重要信息与实际情况不符，或采取造假、串通、行贿、利益交换等不正当手段意图获取科技计划项目、科研经费、资质认定等行为；</w:t>
      </w:r>
    </w:p>
    <w:p w14:paraId="304DEA0A">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（二）实施“打招呼”“走关系”等请托行为；</w:t>
      </w:r>
    </w:p>
    <w:p w14:paraId="7A08395A">
      <w:pPr>
        <w:widowControl/>
        <w:kinsoku w:val="0"/>
        <w:autoSpaceDE w:val="0"/>
        <w:autoSpaceDN w:val="0"/>
        <w:adjustRightInd w:val="0"/>
        <w:snapToGrid w:val="0"/>
        <w:spacing w:line="360" w:lineRule="auto"/>
        <w:ind w:left="53" w:firstLine="60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（三）以同一事项重复申报或者多头申报市级专项资金，国家、省、市另有规定的除外；</w:t>
      </w:r>
    </w:p>
    <w:p w14:paraId="3A6C221C">
      <w:pPr>
        <w:widowControl/>
        <w:kinsoku w:val="0"/>
        <w:autoSpaceDE w:val="0"/>
        <w:autoSpaceDN w:val="0"/>
        <w:adjustRightInd w:val="0"/>
        <w:snapToGrid w:val="0"/>
        <w:spacing w:line="360" w:lineRule="auto"/>
        <w:ind w:left="30" w:right="242" w:firstLine="62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（四）抄袭、剽窃、侵占、篡改他人科学技术成果，编造科学技术成果，侵犯他人知识产权，使用生成式人工智能直接生成申报材料，虚构同行评议专家及评议意见等，用于项目申请或作为项目验收成果；</w:t>
      </w:r>
    </w:p>
    <w:p w14:paraId="0B110B38">
      <w:pPr>
        <w:widowControl/>
        <w:kinsoku w:val="0"/>
        <w:autoSpaceDE w:val="0"/>
        <w:autoSpaceDN w:val="0"/>
        <w:adjustRightInd w:val="0"/>
        <w:snapToGrid w:val="0"/>
        <w:spacing w:line="360" w:lineRule="auto"/>
        <w:ind w:left="30" w:right="147" w:firstLine="62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（五）因买卖、代写论文，编造研究过程，伪造、篡改、抄袭研究数据、图表、检测报告等严重科研不端行为被国内外公开发行的学术出版刊物撤稿，涉事论文用于项目申请或作为项目验收成果；</w:t>
      </w:r>
    </w:p>
    <w:p w14:paraId="2CBD2BA4">
      <w:pPr>
        <w:widowControl/>
        <w:kinsoku w:val="0"/>
        <w:autoSpaceDE w:val="0"/>
        <w:autoSpaceDN w:val="0"/>
        <w:adjustRightInd w:val="0"/>
        <w:snapToGrid w:val="0"/>
        <w:spacing w:line="360" w:lineRule="auto"/>
        <w:ind w:left="30" w:right="242" w:firstLine="62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（六）无正当理由拒不履行项目任务书约定的义务;以项目实施周期外或不相关成果充抵交差;项目负责人在项目执行期内变更工作单位，或变更项目负责人，未按规定要求报批；无正当理由不按期申请项目验收；</w:t>
      </w:r>
    </w:p>
    <w:p w14:paraId="55E0613F">
      <w:pPr>
        <w:widowControl/>
        <w:kinsoku w:val="0"/>
        <w:autoSpaceDE w:val="0"/>
        <w:autoSpaceDN w:val="0"/>
        <w:adjustRightInd w:val="0"/>
        <w:snapToGrid w:val="0"/>
        <w:spacing w:line="360" w:lineRule="auto"/>
        <w:ind w:left="22" w:right="147" w:firstLine="636"/>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（七）违反科技项目财政资助资金使用管理规范；套取、虚报、冒领、挪用、贪污、私分财政科技计划项目资金；</w:t>
      </w:r>
    </w:p>
    <w:p w14:paraId="263EEE15">
      <w:pPr>
        <w:widowControl/>
        <w:kinsoku w:val="0"/>
        <w:autoSpaceDE w:val="0"/>
        <w:autoSpaceDN w:val="0"/>
        <w:adjustRightInd w:val="0"/>
        <w:snapToGrid w:val="0"/>
        <w:spacing w:line="360" w:lineRule="auto"/>
        <w:ind w:left="32" w:right="160" w:firstLine="626"/>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（八）不配合监督检查或考核评估工作，提供虚假材料，对相关处理意见拒不整改或虚假整改；</w:t>
      </w:r>
    </w:p>
    <w:p w14:paraId="332C9F20">
      <w:pPr>
        <w:widowControl/>
        <w:kinsoku w:val="0"/>
        <w:autoSpaceDE w:val="0"/>
        <w:autoSpaceDN w:val="0"/>
        <w:adjustRightInd w:val="0"/>
        <w:snapToGrid w:val="0"/>
        <w:spacing w:line="360" w:lineRule="auto"/>
        <w:ind w:left="19" w:right="244" w:firstLine="64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（九）开展危害国家安全、损害社会公共利益、危害人体健康的科学技术活动；</w:t>
      </w:r>
    </w:p>
    <w:p w14:paraId="66E9DC86">
      <w:pPr>
        <w:widowControl/>
        <w:kinsoku w:val="0"/>
        <w:autoSpaceDE w:val="0"/>
        <w:autoSpaceDN w:val="0"/>
        <w:adjustRightInd w:val="0"/>
        <w:snapToGrid w:val="0"/>
        <w:spacing w:line="360" w:lineRule="auto"/>
        <w:ind w:left="658" w:right="159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 xml:space="preserve">（十）违反国家科学技术活动保密相关规定； </w:t>
      </w:r>
    </w:p>
    <w:p w14:paraId="6D4564F1">
      <w:pPr>
        <w:widowControl/>
        <w:kinsoku w:val="0"/>
        <w:autoSpaceDE w:val="0"/>
        <w:autoSpaceDN w:val="0"/>
        <w:adjustRightInd w:val="0"/>
        <w:snapToGrid w:val="0"/>
        <w:spacing w:line="360" w:lineRule="auto"/>
        <w:ind w:left="658" w:right="159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（十一）违反科技伦理规范；</w:t>
      </w:r>
    </w:p>
    <w:p w14:paraId="1E9E8B21">
      <w:pPr>
        <w:widowControl/>
        <w:kinsoku w:val="0"/>
        <w:autoSpaceDE w:val="0"/>
        <w:autoSpaceDN w:val="0"/>
        <w:adjustRightInd w:val="0"/>
        <w:snapToGrid w:val="0"/>
        <w:spacing w:line="360" w:lineRule="auto"/>
        <w:ind w:left="659" w:right="1597"/>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（十二</w:t>
      </w:r>
      <w:r>
        <w:rPr>
          <w:rFonts w:hint="eastAsia" w:ascii="仿宋_GB2312" w:hAnsi="仿宋" w:eastAsia="仿宋_GB2312" w:cs="仿宋"/>
          <w:snapToGrid w:val="0"/>
          <w:color w:val="000000"/>
          <w:kern w:val="0"/>
          <w:sz w:val="32"/>
          <w:szCs w:val="32"/>
        </w:rPr>
        <w:t>）</w:t>
      </w:r>
      <w:r>
        <w:rPr>
          <w:rFonts w:ascii="仿宋_GB2312" w:hAnsi="仿宋" w:eastAsia="仿宋_GB2312" w:cs="仿宋"/>
          <w:snapToGrid w:val="0"/>
          <w:color w:val="000000"/>
          <w:kern w:val="0"/>
          <w:sz w:val="32"/>
          <w:szCs w:val="32"/>
        </w:rPr>
        <w:t>法律、法规、规章规定的</w:t>
      </w:r>
      <w:r>
        <w:rPr>
          <w:rFonts w:hint="eastAsia" w:ascii="仿宋_GB2312" w:hAnsi="仿宋" w:eastAsia="仿宋_GB2312" w:cs="仿宋"/>
          <w:snapToGrid w:val="0"/>
          <w:color w:val="000000"/>
          <w:kern w:val="0"/>
          <w:sz w:val="32"/>
          <w:szCs w:val="32"/>
        </w:rPr>
        <w:t>违规行为。</w:t>
      </w:r>
    </w:p>
    <w:p w14:paraId="414CAF4C">
      <w:pPr>
        <w:widowControl/>
        <w:kinsoku w:val="0"/>
        <w:autoSpaceDE w:val="0"/>
        <w:autoSpaceDN w:val="0"/>
        <w:adjustRightInd w:val="0"/>
        <w:snapToGrid w:val="0"/>
        <w:spacing w:line="360" w:lineRule="auto"/>
        <w:ind w:left="659" w:right="1597"/>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7"/>
          <w:kern w:val="0"/>
          <w:sz w:val="31"/>
          <w:szCs w:val="31"/>
        </w:rPr>
        <w:t xml:space="preserve">第十五条 </w:t>
      </w:r>
      <w:r>
        <w:rPr>
          <w:rFonts w:ascii="仿宋_GB2312" w:hAnsi="仿宋" w:eastAsia="仿宋_GB2312" w:cs="仿宋"/>
          <w:snapToGrid w:val="0"/>
          <w:color w:val="000000"/>
          <w:kern w:val="0"/>
          <w:sz w:val="32"/>
          <w:szCs w:val="32"/>
        </w:rPr>
        <w:t>咨询评审专家失信行为：</w:t>
      </w:r>
    </w:p>
    <w:p w14:paraId="3BF75EC2">
      <w:pPr>
        <w:widowControl/>
        <w:kinsoku w:val="0"/>
        <w:autoSpaceDE w:val="0"/>
        <w:autoSpaceDN w:val="0"/>
        <w:adjustRightInd w:val="0"/>
        <w:snapToGrid w:val="0"/>
        <w:spacing w:line="360" w:lineRule="auto"/>
        <w:ind w:left="29" w:right="16" w:firstLine="63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（一）采取弄虚作假等不正当手段获取咨询、评审、评估、评价、监督检查资格；</w:t>
      </w:r>
    </w:p>
    <w:p w14:paraId="5C2874D9">
      <w:pPr>
        <w:widowControl/>
        <w:kinsoku w:val="0"/>
        <w:autoSpaceDE w:val="0"/>
        <w:autoSpaceDN w:val="0"/>
        <w:adjustRightInd w:val="0"/>
        <w:snapToGrid w:val="0"/>
        <w:spacing w:line="360" w:lineRule="auto"/>
        <w:ind w:left="31" w:right="16" w:firstLine="627"/>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（二）违反评审咨询规范纪律，擅离职守或无正当理由缺席评审咨询工作；擅自委托他人顶替或代评；</w:t>
      </w:r>
    </w:p>
    <w:p w14:paraId="5F25F181">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（三）违反回避制度要求；</w:t>
      </w:r>
    </w:p>
    <w:p w14:paraId="4B13DE24">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（四）接受“打招呼”“走关系”等请托；</w:t>
      </w:r>
    </w:p>
    <w:p w14:paraId="39D3FE71">
      <w:pPr>
        <w:widowControl/>
        <w:kinsoku w:val="0"/>
        <w:autoSpaceDE w:val="0"/>
        <w:autoSpaceDN w:val="0"/>
        <w:adjustRightInd w:val="0"/>
        <w:snapToGrid w:val="0"/>
        <w:spacing w:line="360" w:lineRule="auto"/>
        <w:ind w:left="47" w:right="16" w:firstLine="611"/>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（五）引导、游说其他专家或工作人员，影响咨询、评审、评估、评价、监督检查过程和结果；</w:t>
      </w:r>
    </w:p>
    <w:p w14:paraId="75034EB0">
      <w:pPr>
        <w:widowControl/>
        <w:kinsoku w:val="0"/>
        <w:autoSpaceDE w:val="0"/>
        <w:autoSpaceDN w:val="0"/>
        <w:adjustRightInd w:val="0"/>
        <w:snapToGrid w:val="0"/>
        <w:spacing w:line="360" w:lineRule="auto"/>
        <w:ind w:right="11"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（六）索取、收受利益相关方财物或其他不正当利益；</w:t>
      </w:r>
    </w:p>
    <w:p w14:paraId="64E46B0A">
      <w:pPr>
        <w:widowControl/>
        <w:kinsoku w:val="0"/>
        <w:autoSpaceDE w:val="0"/>
        <w:autoSpaceDN w:val="0"/>
        <w:adjustRightInd w:val="0"/>
        <w:snapToGrid w:val="0"/>
        <w:spacing w:line="360" w:lineRule="auto"/>
        <w:ind w:left="22" w:right="16" w:firstLine="636"/>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（七）出具明显不当的咨询、评审、评估、评价、监督检查意见；</w:t>
      </w:r>
    </w:p>
    <w:p w14:paraId="162EC7CC">
      <w:pPr>
        <w:widowControl/>
        <w:kinsoku w:val="0"/>
        <w:autoSpaceDE w:val="0"/>
        <w:autoSpaceDN w:val="0"/>
        <w:adjustRightInd w:val="0"/>
        <w:snapToGrid w:val="0"/>
        <w:spacing w:line="360" w:lineRule="auto"/>
        <w:ind w:left="19" w:right="16" w:firstLine="64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（八）未能保护评审对象的知识产权，泄露活动过程中知悉的技术秘密、商业秘密以及其他不宜公开的事宜，擅自传播、扩散有关评审（咨询）内部情况的；</w:t>
      </w:r>
    </w:p>
    <w:p w14:paraId="068C85E1">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（九）抄袭、剽窃咨询评审对象的科学技术成果；</w:t>
      </w:r>
    </w:p>
    <w:p w14:paraId="0755BE4A">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（十）违反国家科学技术活动保密相关规定；</w:t>
      </w:r>
    </w:p>
    <w:p w14:paraId="56362AD9">
      <w:pPr>
        <w:widowControl/>
        <w:kinsoku w:val="0"/>
        <w:autoSpaceDE w:val="0"/>
        <w:autoSpaceDN w:val="0"/>
        <w:adjustRightInd w:val="0"/>
        <w:snapToGrid w:val="0"/>
        <w:spacing w:line="360" w:lineRule="auto"/>
        <w:ind w:right="11"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（十一）</w:t>
      </w:r>
      <w:bookmarkStart w:id="11" w:name="OLE_LINK13"/>
      <w:bookmarkStart w:id="12" w:name="OLE_LINK14"/>
      <w:r>
        <w:rPr>
          <w:rFonts w:ascii="仿宋_GB2312" w:hAnsi="仿宋" w:eastAsia="仿宋_GB2312" w:cs="仿宋"/>
          <w:snapToGrid w:val="0"/>
          <w:color w:val="000000"/>
          <w:kern w:val="0"/>
          <w:sz w:val="32"/>
          <w:szCs w:val="32"/>
        </w:rPr>
        <w:t>法律、法规、规章规定的其他相关违规行为。</w:t>
      </w:r>
    </w:p>
    <w:bookmarkEnd w:id="11"/>
    <w:bookmarkEnd w:id="12"/>
    <w:p w14:paraId="1E1B1043">
      <w:pPr>
        <w:widowControl/>
        <w:kinsoku w:val="0"/>
        <w:autoSpaceDE w:val="0"/>
        <w:autoSpaceDN w:val="0"/>
        <w:adjustRightInd w:val="0"/>
        <w:snapToGrid w:val="0"/>
        <w:spacing w:line="360" w:lineRule="auto"/>
        <w:ind w:left="26" w:right="16" w:firstLine="644"/>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第十六条 </w:t>
      </w:r>
      <w:r>
        <w:rPr>
          <w:rFonts w:ascii="仿宋_GB2312" w:hAnsi="仿宋" w:eastAsia="仿宋_GB2312" w:cs="仿宋"/>
          <w:snapToGrid w:val="0"/>
          <w:color w:val="000000"/>
          <w:kern w:val="0"/>
          <w:sz w:val="32"/>
          <w:szCs w:val="32"/>
        </w:rPr>
        <w:t>第三方科学技术服务机构及其工作人员</w:t>
      </w:r>
      <w:r>
        <w:rPr>
          <w:rFonts w:hint="eastAsia" w:ascii="仿宋_GB2312" w:hAnsi="仿宋" w:eastAsia="仿宋_GB2312" w:cs="仿宋"/>
          <w:snapToGrid w:val="0"/>
          <w:color w:val="000000"/>
          <w:kern w:val="0"/>
          <w:sz w:val="32"/>
          <w:szCs w:val="32"/>
        </w:rPr>
        <w:t>及受托管理机构</w:t>
      </w:r>
      <w:r>
        <w:rPr>
          <w:rFonts w:ascii="仿宋_GB2312" w:hAnsi="仿宋" w:eastAsia="仿宋_GB2312" w:cs="仿宋"/>
          <w:snapToGrid w:val="0"/>
          <w:color w:val="000000"/>
          <w:kern w:val="0"/>
          <w:sz w:val="32"/>
          <w:szCs w:val="32"/>
        </w:rPr>
        <w:t>失信行为：</w:t>
      </w:r>
    </w:p>
    <w:p w14:paraId="2BB65712">
      <w:pPr>
        <w:widowControl/>
        <w:kinsoku w:val="0"/>
        <w:autoSpaceDE w:val="0"/>
        <w:autoSpaceDN w:val="0"/>
        <w:adjustRightInd w:val="0"/>
        <w:snapToGrid w:val="0"/>
        <w:spacing w:line="360" w:lineRule="auto"/>
        <w:ind w:left="30" w:right="16" w:firstLine="62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（一）采取弄虚作假、贿赂或变相贿赂等不正当手段获取科学技术活动相关业务；</w:t>
      </w:r>
    </w:p>
    <w:p w14:paraId="4EEB61E2">
      <w:pPr>
        <w:widowControl/>
        <w:kinsoku w:val="0"/>
        <w:autoSpaceDE w:val="0"/>
        <w:autoSpaceDN w:val="0"/>
        <w:adjustRightInd w:val="0"/>
        <w:snapToGrid w:val="0"/>
        <w:spacing w:line="360" w:lineRule="auto"/>
        <w:ind w:right="16"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（二）利用管理职能，设租寻租，为本单位、项目承担</w:t>
      </w:r>
      <w:r>
        <w:rPr>
          <w:rFonts w:hint="eastAsia" w:ascii="仿宋_GB2312" w:hAnsi="仿宋" w:eastAsia="仿宋_GB2312" w:cs="仿宋"/>
          <w:snapToGrid w:val="0"/>
          <w:color w:val="000000"/>
          <w:kern w:val="0"/>
          <w:sz w:val="32"/>
          <w:szCs w:val="32"/>
        </w:rPr>
        <w:t>（</w:t>
      </w:r>
      <w:r>
        <w:rPr>
          <w:rFonts w:ascii="仿宋_GB2312" w:hAnsi="仿宋" w:eastAsia="仿宋_GB2312" w:cs="仿宋"/>
          <w:snapToGrid w:val="0"/>
          <w:color w:val="000000"/>
          <w:kern w:val="0"/>
          <w:sz w:val="32"/>
          <w:szCs w:val="32"/>
        </w:rPr>
        <w:t>申报</w:t>
      </w:r>
      <w:r>
        <w:rPr>
          <w:rFonts w:hint="eastAsia" w:ascii="仿宋_GB2312" w:hAnsi="仿宋" w:eastAsia="仿宋_GB2312" w:cs="仿宋"/>
          <w:snapToGrid w:val="0"/>
          <w:color w:val="000000"/>
          <w:kern w:val="0"/>
          <w:sz w:val="32"/>
          <w:szCs w:val="32"/>
        </w:rPr>
        <w:t>）</w:t>
      </w:r>
      <w:r>
        <w:rPr>
          <w:rFonts w:ascii="仿宋_GB2312" w:hAnsi="仿宋" w:eastAsia="仿宋_GB2312" w:cs="仿宋"/>
          <w:snapToGrid w:val="0"/>
          <w:color w:val="000000"/>
          <w:kern w:val="0"/>
          <w:sz w:val="32"/>
          <w:szCs w:val="32"/>
        </w:rPr>
        <w:t>单位或项目承担（申报）人谋取不正当利益；</w:t>
      </w:r>
    </w:p>
    <w:p w14:paraId="3F348230">
      <w:pPr>
        <w:widowControl/>
        <w:kinsoku w:val="0"/>
        <w:autoSpaceDE w:val="0"/>
        <w:autoSpaceDN w:val="0"/>
        <w:adjustRightInd w:val="0"/>
        <w:snapToGrid w:val="0"/>
        <w:spacing w:line="360" w:lineRule="auto"/>
        <w:ind w:left="34" w:right="65" w:firstLine="62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（三）从事学术论文买卖、代写代投以及伪造、虚构、篡改研究数据等；</w:t>
      </w:r>
    </w:p>
    <w:p w14:paraId="471F2A3F">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（四）违反回避制度要求；</w:t>
      </w:r>
    </w:p>
    <w:p w14:paraId="58EF1B91">
      <w:pPr>
        <w:widowControl/>
        <w:kinsoku w:val="0"/>
        <w:autoSpaceDE w:val="0"/>
        <w:autoSpaceDN w:val="0"/>
        <w:adjustRightInd w:val="0"/>
        <w:snapToGrid w:val="0"/>
        <w:spacing w:line="360" w:lineRule="auto"/>
        <w:ind w:right="11"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（五）擅自委托他方代替提供科学技术活动相关服务；</w:t>
      </w:r>
    </w:p>
    <w:p w14:paraId="6E10384B">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（六）出具虚假或失实结论；</w:t>
      </w:r>
    </w:p>
    <w:p w14:paraId="716448B4">
      <w:pPr>
        <w:widowControl/>
        <w:kinsoku w:val="0"/>
        <w:autoSpaceDE w:val="0"/>
        <w:autoSpaceDN w:val="0"/>
        <w:adjustRightInd w:val="0"/>
        <w:snapToGrid w:val="0"/>
        <w:spacing w:line="360" w:lineRule="auto"/>
        <w:ind w:right="11"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（七）索取、收受利益相关方财物或其他不正当利益；</w:t>
      </w:r>
    </w:p>
    <w:p w14:paraId="62820BF0">
      <w:pPr>
        <w:widowControl/>
        <w:kinsoku w:val="0"/>
        <w:autoSpaceDE w:val="0"/>
        <w:autoSpaceDN w:val="0"/>
        <w:adjustRightInd w:val="0"/>
        <w:snapToGrid w:val="0"/>
        <w:spacing w:line="360" w:lineRule="auto"/>
        <w:ind w:left="26" w:right="13" w:firstLine="632"/>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（八）泄漏活动过程中知悉的技术秘密、商业秘密以及其他不宜公开的事宜等；</w:t>
      </w:r>
    </w:p>
    <w:p w14:paraId="009B8B1E">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（九）违反国家科学技术活动保密相关规定；</w:t>
      </w:r>
    </w:p>
    <w:p w14:paraId="7E952461">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（十）法律、法规、规章规定的其他相关违规行为。</w:t>
      </w:r>
    </w:p>
    <w:p w14:paraId="2B837CE9">
      <w:pPr>
        <w:widowControl/>
        <w:kinsoku w:val="0"/>
        <w:autoSpaceDE w:val="0"/>
        <w:autoSpaceDN w:val="0"/>
        <w:adjustRightInd w:val="0"/>
        <w:snapToGrid w:val="0"/>
        <w:spacing w:line="360" w:lineRule="auto"/>
        <w:textAlignment w:val="baseline"/>
        <w:rPr>
          <w:rFonts w:ascii="Arial" w:hAnsi="Arial" w:eastAsia="Arial" w:cs="Arial"/>
          <w:snapToGrid w:val="0"/>
          <w:color w:val="000000"/>
          <w:kern w:val="0"/>
          <w:szCs w:val="21"/>
        </w:rPr>
      </w:pPr>
    </w:p>
    <w:p w14:paraId="79BE60DE">
      <w:pPr>
        <w:widowControl/>
        <w:kinsoku w:val="0"/>
        <w:autoSpaceDE w:val="0"/>
        <w:autoSpaceDN w:val="0"/>
        <w:adjustRightInd w:val="0"/>
        <w:snapToGrid w:val="0"/>
        <w:spacing w:line="360" w:lineRule="auto"/>
        <w:ind w:left="2183"/>
        <w:textAlignment w:val="baseline"/>
        <w:rPr>
          <w:rFonts w:hint="eastAsia" w:ascii="黑体" w:hAnsi="黑体" w:eastAsia="黑体" w:cs="黑体"/>
          <w:snapToGrid w:val="0"/>
          <w:color w:val="000000"/>
          <w:kern w:val="0"/>
          <w:sz w:val="31"/>
          <w:szCs w:val="31"/>
        </w:rPr>
      </w:pPr>
      <w:r>
        <w:rPr>
          <w:rFonts w:ascii="黑体" w:hAnsi="黑体" w:eastAsia="黑体" w:cs="黑体"/>
          <w:snapToGrid w:val="0"/>
          <w:color w:val="000000"/>
          <w:spacing w:val="8"/>
          <w:kern w:val="0"/>
          <w:position w:val="1"/>
          <w:sz w:val="31"/>
          <w:szCs w:val="31"/>
        </w:rPr>
        <w:t>第四章 科研诚信记录与管理</w:t>
      </w:r>
    </w:p>
    <w:p w14:paraId="2494AD3F">
      <w:pPr>
        <w:widowControl/>
        <w:kinsoku w:val="0"/>
        <w:autoSpaceDE w:val="0"/>
        <w:autoSpaceDN w:val="0"/>
        <w:adjustRightInd w:val="0"/>
        <w:snapToGrid w:val="0"/>
        <w:spacing w:line="360" w:lineRule="auto"/>
        <w:ind w:left="16" w:right="14" w:firstLine="654"/>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第十七条 </w:t>
      </w:r>
      <w:r>
        <w:rPr>
          <w:rFonts w:ascii="仿宋_GB2312" w:hAnsi="仿宋" w:eastAsia="仿宋_GB2312" w:cs="仿宋"/>
          <w:snapToGrid w:val="0"/>
          <w:color w:val="000000"/>
          <w:kern w:val="0"/>
          <w:sz w:val="32"/>
          <w:szCs w:val="32"/>
        </w:rPr>
        <w:t>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局建立健全科研诚信信息数据库，对</w:t>
      </w:r>
      <w:r>
        <w:rPr>
          <w:rFonts w:hint="eastAsia" w:ascii="仿宋_GB2312" w:hAnsi="仿宋" w:eastAsia="仿宋_GB2312" w:cs="仿宋"/>
          <w:snapToGrid w:val="0"/>
          <w:color w:val="000000"/>
          <w:kern w:val="0"/>
          <w:sz w:val="32"/>
          <w:szCs w:val="32"/>
        </w:rPr>
        <w:t>项目承担（申请）单位、项目承担（申请）人员、项目咨询评审专家、第三方科学技术服务机构及其工作人员及受托管理机构等</w:t>
      </w:r>
      <w:r>
        <w:rPr>
          <w:rFonts w:ascii="仿宋_GB2312" w:hAnsi="仿宋" w:eastAsia="仿宋_GB2312" w:cs="仿宋"/>
          <w:snapToGrid w:val="0"/>
          <w:color w:val="000000"/>
          <w:kern w:val="0"/>
          <w:sz w:val="32"/>
          <w:szCs w:val="32"/>
        </w:rPr>
        <w:t>相关责任主体参与市科技计划项目全过程的信用状况进行记录。包括基础信息、守信激励信息和失信信息</w:t>
      </w:r>
      <w:r>
        <w:rPr>
          <w:rFonts w:hint="eastAsia" w:ascii="仿宋_GB2312" w:hAnsi="仿宋" w:eastAsia="仿宋_GB2312" w:cs="仿宋"/>
          <w:snapToGrid w:val="0"/>
          <w:color w:val="000000"/>
          <w:kern w:val="0"/>
          <w:sz w:val="32"/>
          <w:szCs w:val="32"/>
        </w:rPr>
        <w:t>。</w:t>
      </w:r>
      <w:r>
        <w:rPr>
          <w:rFonts w:ascii="仿宋_GB2312" w:hAnsi="仿宋" w:eastAsia="仿宋_GB2312" w:cs="仿宋"/>
          <w:snapToGrid w:val="0"/>
          <w:color w:val="000000"/>
          <w:kern w:val="0"/>
          <w:sz w:val="32"/>
          <w:szCs w:val="32"/>
        </w:rPr>
        <w:t>科研诚信信息数据库依托</w:t>
      </w:r>
      <w:r>
        <w:rPr>
          <w:rFonts w:hint="eastAsia" w:ascii="仿宋_GB2312" w:hAnsi="仿宋" w:eastAsia="仿宋_GB2312" w:cs="仿宋"/>
          <w:snapToGrid w:val="0"/>
          <w:color w:val="000000"/>
          <w:kern w:val="0"/>
          <w:sz w:val="32"/>
          <w:szCs w:val="32"/>
        </w:rPr>
        <w:t>市科技枢纽平台建设</w:t>
      </w:r>
      <w:r>
        <w:rPr>
          <w:rFonts w:ascii="仿宋_GB2312" w:hAnsi="仿宋" w:eastAsia="仿宋_GB2312" w:cs="仿宋"/>
          <w:snapToGrid w:val="0"/>
          <w:color w:val="000000"/>
          <w:kern w:val="0"/>
          <w:sz w:val="32"/>
          <w:szCs w:val="32"/>
        </w:rPr>
        <w:t>，开展科研诚信记录、查询、修改等工作。</w:t>
      </w:r>
    </w:p>
    <w:p w14:paraId="723706BC">
      <w:pPr>
        <w:widowControl/>
        <w:kinsoku w:val="0"/>
        <w:autoSpaceDE w:val="0"/>
        <w:autoSpaceDN w:val="0"/>
        <w:adjustRightInd w:val="0"/>
        <w:snapToGrid w:val="0"/>
        <w:spacing w:line="360" w:lineRule="auto"/>
        <w:ind w:left="40" w:leftChars="19" w:firstLine="680" w:firstLineChars="200"/>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position w:val="1"/>
          <w:sz w:val="31"/>
          <w:szCs w:val="31"/>
        </w:rPr>
        <w:t xml:space="preserve">第十八条 </w:t>
      </w:r>
      <w:r>
        <w:rPr>
          <w:rFonts w:ascii="仿宋_GB2312" w:hAnsi="仿宋" w:eastAsia="仿宋_GB2312" w:cs="仿宋"/>
          <w:snapToGrid w:val="0"/>
          <w:color w:val="000000"/>
          <w:kern w:val="0"/>
          <w:sz w:val="32"/>
          <w:szCs w:val="32"/>
        </w:rPr>
        <w:t>科研诚信基础信息是指相关责任主体的身份信息和与市科技计划项目相关的信息，包括单位名称或姓名、统一社会信用代码、个人身份证件号码，以及市科技计划项目的计划类别、项目编号、项目名称、实施期限等。</w:t>
      </w:r>
    </w:p>
    <w:p w14:paraId="7D000E87">
      <w:pPr>
        <w:widowControl/>
        <w:kinsoku w:val="0"/>
        <w:autoSpaceDE w:val="0"/>
        <w:autoSpaceDN w:val="0"/>
        <w:adjustRightInd w:val="0"/>
        <w:snapToGrid w:val="0"/>
        <w:spacing w:line="360" w:lineRule="auto"/>
        <w:ind w:left="23" w:right="256" w:firstLine="666"/>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守信激励信息是指相关责任主体在参与市科技计划项目过程中，遵守市科技计划项目管理有关规定和要求，奉行科研行为准则和科技管理工作准则，恪守科技伦理和职业道德、履行科研诚信承诺，受到的表彰、奖励等信息。</w:t>
      </w:r>
    </w:p>
    <w:p w14:paraId="5CF8F841">
      <w:pPr>
        <w:widowControl/>
        <w:kinsoku w:val="0"/>
        <w:autoSpaceDE w:val="0"/>
        <w:autoSpaceDN w:val="0"/>
        <w:adjustRightInd w:val="0"/>
        <w:snapToGrid w:val="0"/>
        <w:spacing w:line="360" w:lineRule="auto"/>
        <w:ind w:left="36" w:right="174" w:firstLine="647"/>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失信信息是指经市科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局认定，对相关责任主体失信行为和处理结果的记录。包括失信责任主体、失信行为、科研失信事由、处理依据、处理意见、处理生效时间、惩戒期限，以及根据法律法规要求需要记录的其他信息等。</w:t>
      </w:r>
    </w:p>
    <w:p w14:paraId="4A7B55F5">
      <w:pPr>
        <w:widowControl/>
        <w:kinsoku w:val="0"/>
        <w:autoSpaceDE w:val="0"/>
        <w:autoSpaceDN w:val="0"/>
        <w:adjustRightInd w:val="0"/>
        <w:snapToGrid w:val="0"/>
        <w:spacing w:line="360" w:lineRule="auto"/>
        <w:ind w:left="16" w:right="160" w:firstLine="654"/>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 xml:space="preserve">第十九条 </w:t>
      </w:r>
      <w:r>
        <w:rPr>
          <w:rFonts w:ascii="仿宋_GB2312" w:hAnsi="仿宋" w:eastAsia="仿宋_GB2312" w:cs="仿宋"/>
          <w:snapToGrid w:val="0"/>
          <w:color w:val="000000"/>
          <w:kern w:val="0"/>
          <w:sz w:val="32"/>
          <w:szCs w:val="32"/>
        </w:rPr>
        <w:t>在科技计划项目实施中，正常履行项目验收、终止、撤销等程序，经费使用管理合规，出现以下情况，按照鼓励创新、宽容失败原则，经市科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局审核后，不记入失信记录：</w:t>
      </w:r>
    </w:p>
    <w:p w14:paraId="2352B4B5">
      <w:pPr>
        <w:widowControl/>
        <w:kinsoku w:val="0"/>
        <w:autoSpaceDE w:val="0"/>
        <w:autoSpaceDN w:val="0"/>
        <w:adjustRightInd w:val="0"/>
        <w:snapToGrid w:val="0"/>
        <w:spacing w:line="360" w:lineRule="auto"/>
        <w:ind w:right="150" w:firstLine="640" w:firstLineChars="200"/>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（一）未达到合同约定的验收条件，但开展了实质性研发活动并取得了一定的研究进展和成果，且经费使用基本合规的项目，予以总结结题处理的；</w:t>
      </w:r>
    </w:p>
    <w:p w14:paraId="64ACA537">
      <w:pPr>
        <w:widowControl/>
        <w:kinsoku w:val="0"/>
        <w:autoSpaceDE w:val="0"/>
        <w:autoSpaceDN w:val="0"/>
        <w:adjustRightInd w:val="0"/>
        <w:snapToGrid w:val="0"/>
        <w:spacing w:line="360" w:lineRule="auto"/>
        <w:ind w:right="150" w:firstLine="640" w:firstLineChars="200"/>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（二）对已勤勉尽责、但因技术路线选择失误导致难以完成预定目标而终止项目的；</w:t>
      </w:r>
    </w:p>
    <w:p w14:paraId="15173A77">
      <w:pPr>
        <w:widowControl/>
        <w:kinsoku w:val="0"/>
        <w:autoSpaceDE w:val="0"/>
        <w:autoSpaceDN w:val="0"/>
        <w:adjustRightInd w:val="0"/>
        <w:snapToGrid w:val="0"/>
        <w:spacing w:line="360" w:lineRule="auto"/>
        <w:ind w:right="150" w:firstLine="640" w:firstLineChars="200"/>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（三）完成项目任务所需的资金、原材料、人员、支撑条件等因客观原因未落实或发生改变导致项目无法正常实施的；</w:t>
      </w:r>
    </w:p>
    <w:p w14:paraId="2FFA21CE">
      <w:pPr>
        <w:widowControl/>
        <w:kinsoku w:val="0"/>
        <w:autoSpaceDE w:val="0"/>
        <w:autoSpaceDN w:val="0"/>
        <w:adjustRightInd w:val="0"/>
        <w:snapToGrid w:val="0"/>
        <w:spacing w:line="360" w:lineRule="auto"/>
        <w:ind w:right="150" w:firstLine="640" w:firstLineChars="200"/>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（四）政策或市场发生重大变化等客观原因导致项目终止或无法实施的；</w:t>
      </w:r>
    </w:p>
    <w:p w14:paraId="73271E70">
      <w:pPr>
        <w:widowControl/>
        <w:kinsoku w:val="0"/>
        <w:autoSpaceDE w:val="0"/>
        <w:autoSpaceDN w:val="0"/>
        <w:adjustRightInd w:val="0"/>
        <w:snapToGrid w:val="0"/>
        <w:spacing w:line="360" w:lineRule="auto"/>
        <w:ind w:right="150" w:firstLine="640" w:firstLineChars="200"/>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（五）项目为事前立项事后补助类建设项目，因客观原因在规定时间内未完成目标建设任务的；</w:t>
      </w:r>
    </w:p>
    <w:p w14:paraId="46AF715B">
      <w:pPr>
        <w:widowControl/>
        <w:kinsoku w:val="0"/>
        <w:autoSpaceDE w:val="0"/>
        <w:autoSpaceDN w:val="0"/>
        <w:adjustRightInd w:val="0"/>
        <w:snapToGrid w:val="0"/>
        <w:spacing w:line="360" w:lineRule="auto"/>
        <w:ind w:right="150" w:firstLine="640" w:firstLineChars="200"/>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（六）因外方合作单位在合作过程中退出或不履行合作协议导致项目无法正常实施的；</w:t>
      </w:r>
    </w:p>
    <w:p w14:paraId="18E812BC">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（七）因其他不可抗因素导致项目无法正常实施的。</w:t>
      </w:r>
    </w:p>
    <w:p w14:paraId="34B7C587">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 xml:space="preserve">第二十条 </w:t>
      </w:r>
      <w:r>
        <w:rPr>
          <w:rFonts w:ascii="仿宋_GB2312" w:hAnsi="仿宋" w:eastAsia="仿宋_GB2312" w:cs="仿宋"/>
          <w:snapToGrid w:val="0"/>
          <w:color w:val="000000"/>
          <w:kern w:val="0"/>
          <w:sz w:val="32"/>
          <w:szCs w:val="32"/>
        </w:rPr>
        <w:t>相关责任主体在参与科研活动事务中发生以下行为的，应直接记录为严重失信：</w:t>
      </w:r>
    </w:p>
    <w:p w14:paraId="5BBD0430">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（一）受到刑事处罚或行政处罚并正式公告的；</w:t>
      </w:r>
    </w:p>
    <w:p w14:paraId="5F30A57F">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（二）受审计、纪检监察等部门查处并正式通报的；</w:t>
      </w:r>
    </w:p>
    <w:p w14:paraId="6AEA9D48">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（三）受国家、省相关部门</w:t>
      </w:r>
      <w:r>
        <w:rPr>
          <w:rFonts w:hint="eastAsia" w:ascii="仿宋_GB2312" w:hAnsi="仿宋" w:eastAsia="仿宋_GB2312" w:cs="仿宋"/>
          <w:snapToGrid w:val="0"/>
          <w:color w:val="000000"/>
          <w:kern w:val="0"/>
          <w:sz w:val="32"/>
          <w:szCs w:val="32"/>
        </w:rPr>
        <w:t>和单位在科技计划、项目管理或监督检查中</w:t>
      </w:r>
      <w:r>
        <w:rPr>
          <w:rFonts w:ascii="仿宋_GB2312" w:hAnsi="仿宋" w:eastAsia="仿宋_GB2312" w:cs="仿宋"/>
          <w:snapToGrid w:val="0"/>
          <w:color w:val="000000"/>
          <w:kern w:val="0"/>
          <w:sz w:val="32"/>
          <w:szCs w:val="32"/>
        </w:rPr>
        <w:t>查处并以正式文件通报的；</w:t>
      </w:r>
    </w:p>
    <w:p w14:paraId="65C2D53B">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（四）因伪造、篡改、抄袭等严重科研不端行为被国内外公开发行的学术出版刊物撤稿的</w:t>
      </w:r>
      <w:r>
        <w:rPr>
          <w:rFonts w:hint="eastAsia" w:ascii="仿宋_GB2312" w:hAnsi="仿宋" w:eastAsia="仿宋_GB2312" w:cs="仿宋"/>
          <w:snapToGrid w:val="0"/>
          <w:color w:val="000000"/>
          <w:kern w:val="0"/>
          <w:sz w:val="32"/>
          <w:szCs w:val="32"/>
        </w:rPr>
        <w:t>或被国内外政府奖励评审主办方取消评审和获奖资格并正式通报的；</w:t>
      </w:r>
      <w:r>
        <w:rPr>
          <w:rFonts w:ascii="仿宋_GB2312" w:hAnsi="仿宋" w:eastAsia="仿宋_GB2312" w:cs="仿宋"/>
          <w:snapToGrid w:val="0"/>
          <w:color w:val="000000"/>
          <w:kern w:val="0"/>
          <w:sz w:val="32"/>
          <w:szCs w:val="32"/>
        </w:rPr>
        <w:t xml:space="preserve"> </w:t>
      </w:r>
    </w:p>
    <w:p w14:paraId="328485FA">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（五）经核实并履行告知程序的其它严重违规违纪行为。</w:t>
      </w:r>
    </w:p>
    <w:p w14:paraId="5C2E737E">
      <w:pPr>
        <w:widowControl/>
        <w:shd w:val="clear" w:color="auto" w:fill="FFFFFF"/>
        <w:adjustRightInd w:val="0"/>
        <w:snapToGrid w:val="0"/>
        <w:spacing w:line="360" w:lineRule="auto"/>
        <w:ind w:firstLine="640" w:firstLineChars="200"/>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对纪检监察、监督检查等部门已掌握确凿违规违纪问题线索和证据，因客观原因尚未形成正式处理决定的相关责任主体，参照本条款执行。</w:t>
      </w:r>
    </w:p>
    <w:p w14:paraId="7CB64A2C">
      <w:pPr>
        <w:widowControl/>
        <w:kinsoku w:val="0"/>
        <w:autoSpaceDE w:val="0"/>
        <w:autoSpaceDN w:val="0"/>
        <w:adjustRightInd w:val="0"/>
        <w:snapToGrid w:val="0"/>
        <w:spacing w:line="360" w:lineRule="auto"/>
        <w:ind w:left="40" w:firstLine="643"/>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第二十一条</w:t>
      </w:r>
      <w:r>
        <w:rPr>
          <w:rFonts w:ascii="仿宋" w:hAnsi="仿宋" w:eastAsia="仿宋" w:cs="仿宋"/>
          <w:snapToGrid w:val="0"/>
          <w:color w:val="000000"/>
          <w:spacing w:val="4"/>
          <w:kern w:val="0"/>
          <w:sz w:val="31"/>
          <w:szCs w:val="31"/>
        </w:rPr>
        <w:t xml:space="preserve"> </w:t>
      </w:r>
      <w:r>
        <w:rPr>
          <w:rFonts w:ascii="仿宋_GB2312" w:hAnsi="仿宋" w:eastAsia="仿宋_GB2312" w:cs="仿宋"/>
          <w:snapToGrid w:val="0"/>
          <w:color w:val="000000"/>
          <w:kern w:val="0"/>
          <w:sz w:val="32"/>
          <w:szCs w:val="32"/>
        </w:rPr>
        <w:t>对科研失信行为，视违规主体和行为性质，可采取以下处理措施：</w:t>
      </w:r>
    </w:p>
    <w:p w14:paraId="30817C22">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（一）科研诚信诫勉谈话；</w:t>
      </w:r>
    </w:p>
    <w:p w14:paraId="08DF9EEC">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（二）一定范围内公开通报；</w:t>
      </w:r>
    </w:p>
    <w:p w14:paraId="3A97DAC7">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（三）暂停市科技计划项目等财政性资金支持的科学技 术活动，限期整改；</w:t>
      </w:r>
    </w:p>
    <w:p w14:paraId="5989F850">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（四）终止或撤销利用科研失信行为获得的科技计划项目等财政性资金支持的科学技术活动，追回结余资金，追回已拨财政资金；</w:t>
      </w:r>
    </w:p>
    <w:p w14:paraId="36109B91">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（五）禁止在一定期限内申报、承担或参与市科技计划项目等财政性资金支持的科学技术活动；</w:t>
      </w:r>
    </w:p>
    <w:p w14:paraId="45B1C29E">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（六）撤销利用科研失信行为获得的相关学术奖励、荣誉、科技人才称号等并追回奖金；</w:t>
      </w:r>
    </w:p>
    <w:p w14:paraId="15ED3F4A">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（七）取消一定期限内申请或申报科技奖励、科技人才称号等的资格；</w:t>
      </w:r>
    </w:p>
    <w:p w14:paraId="3D10BFDE">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（八）取消一定期限内作为提名或推荐人、被提名或被推 荐人、评审专家等的资格；</w:t>
      </w:r>
    </w:p>
    <w:p w14:paraId="4C17F8C3">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（九）记入科研诚信失信行为数据库；</w:t>
      </w:r>
    </w:p>
    <w:p w14:paraId="1D924469">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（十）其他处理。</w:t>
      </w:r>
    </w:p>
    <w:p w14:paraId="29A84FCC">
      <w:pPr>
        <w:widowControl/>
        <w:kinsoku w:val="0"/>
        <w:autoSpaceDE w:val="0"/>
        <w:autoSpaceDN w:val="0"/>
        <w:adjustRightInd w:val="0"/>
        <w:snapToGrid w:val="0"/>
        <w:spacing w:line="360" w:lineRule="auto"/>
        <w:ind w:right="150" w:firstLine="64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上述处理措施可单独或合并使用。</w:t>
      </w:r>
    </w:p>
    <w:p w14:paraId="31CE49B5">
      <w:pPr>
        <w:widowControl/>
        <w:kinsoku w:val="0"/>
        <w:autoSpaceDE w:val="0"/>
        <w:autoSpaceDN w:val="0"/>
        <w:adjustRightInd w:val="0"/>
        <w:snapToGrid w:val="0"/>
        <w:spacing w:line="360" w:lineRule="auto"/>
        <w:ind w:left="683"/>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第二十二条</w:t>
      </w:r>
      <w:r>
        <w:rPr>
          <w:rFonts w:ascii="仿宋" w:hAnsi="仿宋" w:eastAsia="仿宋" w:cs="仿宋"/>
          <w:snapToGrid w:val="0"/>
          <w:color w:val="000000"/>
          <w:spacing w:val="14"/>
          <w:kern w:val="0"/>
          <w:sz w:val="31"/>
          <w:szCs w:val="31"/>
        </w:rPr>
        <w:t xml:space="preserve"> </w:t>
      </w:r>
      <w:r>
        <w:rPr>
          <w:rFonts w:ascii="仿宋_GB2312" w:hAnsi="仿宋" w:eastAsia="仿宋_GB2312" w:cs="仿宋"/>
          <w:snapToGrid w:val="0"/>
          <w:color w:val="000000"/>
          <w:kern w:val="0"/>
          <w:sz w:val="32"/>
          <w:szCs w:val="32"/>
        </w:rPr>
        <w:t>经调查认定存在科研失信行为的，应视情节</w:t>
      </w:r>
    </w:p>
    <w:p w14:paraId="51EAEB51">
      <w:pPr>
        <w:widowControl/>
        <w:kinsoku w:val="0"/>
        <w:autoSpaceDE w:val="0"/>
        <w:autoSpaceDN w:val="0"/>
        <w:adjustRightInd w:val="0"/>
        <w:snapToGrid w:val="0"/>
        <w:spacing w:line="360" w:lineRule="auto"/>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轻重给予以下处理：</w:t>
      </w:r>
    </w:p>
    <w:p w14:paraId="4C9175AC">
      <w:pPr>
        <w:widowControl/>
        <w:kinsoku w:val="0"/>
        <w:autoSpaceDE w:val="0"/>
        <w:autoSpaceDN w:val="0"/>
        <w:adjustRightInd w:val="0"/>
        <w:snapToGrid w:val="0"/>
        <w:spacing w:line="360" w:lineRule="auto"/>
        <w:ind w:left="50" w:right="97" w:firstLine="60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（一）情节较轻的，给予本办法第二十一条第一项、第三项相应处理；</w:t>
      </w:r>
    </w:p>
    <w:p w14:paraId="0E685318">
      <w:pPr>
        <w:widowControl/>
        <w:kinsoku w:val="0"/>
        <w:autoSpaceDE w:val="0"/>
        <w:autoSpaceDN w:val="0"/>
        <w:adjustRightInd w:val="0"/>
        <w:snapToGrid w:val="0"/>
        <w:spacing w:line="360" w:lineRule="auto"/>
        <w:ind w:left="51" w:right="97" w:firstLine="607"/>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（二）情节较重的，给予本办法第二十一条第二项、第四至第</w:t>
      </w:r>
      <w:r>
        <w:rPr>
          <w:rFonts w:hint="eastAsia" w:ascii="仿宋_GB2312" w:hAnsi="仿宋" w:eastAsia="仿宋_GB2312" w:cs="仿宋"/>
          <w:snapToGrid w:val="0"/>
          <w:color w:val="000000"/>
          <w:kern w:val="0"/>
          <w:sz w:val="32"/>
          <w:szCs w:val="32"/>
        </w:rPr>
        <w:t>九</w:t>
      </w:r>
      <w:r>
        <w:rPr>
          <w:rFonts w:ascii="仿宋_GB2312" w:hAnsi="仿宋" w:eastAsia="仿宋_GB2312" w:cs="仿宋"/>
          <w:snapToGrid w:val="0"/>
          <w:color w:val="000000"/>
          <w:kern w:val="0"/>
          <w:sz w:val="32"/>
          <w:szCs w:val="32"/>
        </w:rPr>
        <w:t>项相应处理，其中涉及取消或禁止期限的，期限为3年以内；</w:t>
      </w:r>
    </w:p>
    <w:p w14:paraId="2CD26629">
      <w:pPr>
        <w:widowControl/>
        <w:kinsoku w:val="0"/>
        <w:autoSpaceDE w:val="0"/>
        <w:autoSpaceDN w:val="0"/>
        <w:adjustRightInd w:val="0"/>
        <w:snapToGrid w:val="0"/>
        <w:spacing w:line="360" w:lineRule="auto"/>
        <w:ind w:left="63" w:right="97" w:firstLine="59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（三）情节严重的，给予本办法第二十一条第二项、第四至第</w:t>
      </w:r>
      <w:r>
        <w:rPr>
          <w:rFonts w:hint="eastAsia" w:ascii="仿宋_GB2312" w:hAnsi="仿宋" w:eastAsia="仿宋_GB2312" w:cs="仿宋"/>
          <w:snapToGrid w:val="0"/>
          <w:color w:val="000000"/>
          <w:kern w:val="0"/>
          <w:sz w:val="32"/>
          <w:szCs w:val="32"/>
        </w:rPr>
        <w:t>九</w:t>
      </w:r>
      <w:r>
        <w:rPr>
          <w:rFonts w:ascii="仿宋_GB2312" w:hAnsi="仿宋" w:eastAsia="仿宋_GB2312" w:cs="仿宋"/>
          <w:snapToGrid w:val="0"/>
          <w:color w:val="000000"/>
          <w:kern w:val="0"/>
          <w:sz w:val="32"/>
          <w:szCs w:val="32"/>
        </w:rPr>
        <w:t>项相应处理，其中涉及取消或禁止期限的，期限为3至5年；</w:t>
      </w:r>
    </w:p>
    <w:p w14:paraId="1E878206">
      <w:pPr>
        <w:widowControl/>
        <w:kinsoku w:val="0"/>
        <w:autoSpaceDE w:val="0"/>
        <w:autoSpaceDN w:val="0"/>
        <w:adjustRightInd w:val="0"/>
        <w:snapToGrid w:val="0"/>
        <w:spacing w:line="360" w:lineRule="auto"/>
        <w:ind w:left="36" w:firstLine="622"/>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（四）情节特别严重的，给予本办法第二十一条第二项、 第四至第</w:t>
      </w:r>
      <w:r>
        <w:rPr>
          <w:rFonts w:hint="eastAsia" w:ascii="仿宋_GB2312" w:hAnsi="仿宋" w:eastAsia="仿宋_GB2312" w:cs="仿宋"/>
          <w:snapToGrid w:val="0"/>
          <w:color w:val="000000"/>
          <w:kern w:val="0"/>
          <w:sz w:val="32"/>
          <w:szCs w:val="32"/>
        </w:rPr>
        <w:t>九</w:t>
      </w:r>
      <w:r>
        <w:rPr>
          <w:rFonts w:ascii="仿宋_GB2312" w:hAnsi="仿宋" w:eastAsia="仿宋_GB2312" w:cs="仿宋"/>
          <w:snapToGrid w:val="0"/>
          <w:color w:val="000000"/>
          <w:kern w:val="0"/>
          <w:sz w:val="32"/>
          <w:szCs w:val="32"/>
        </w:rPr>
        <w:t>项相应处理，其中涉及取消或禁止期限的，期限为5年以上。</w:t>
      </w:r>
    </w:p>
    <w:p w14:paraId="09997FE7">
      <w:pPr>
        <w:widowControl/>
        <w:kinsoku w:val="0"/>
        <w:autoSpaceDE w:val="0"/>
        <w:autoSpaceDN w:val="0"/>
        <w:adjustRightInd w:val="0"/>
        <w:snapToGrid w:val="0"/>
        <w:spacing w:line="360" w:lineRule="auto"/>
        <w:ind w:left="25" w:right="97" w:firstLine="658"/>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第二十三条</w:t>
      </w:r>
      <w:r>
        <w:rPr>
          <w:rFonts w:ascii="仿宋" w:hAnsi="仿宋" w:eastAsia="仿宋" w:cs="仿宋"/>
          <w:snapToGrid w:val="0"/>
          <w:color w:val="000000"/>
          <w:spacing w:val="11"/>
          <w:kern w:val="0"/>
          <w:sz w:val="31"/>
          <w:szCs w:val="31"/>
        </w:rPr>
        <w:t xml:space="preserve"> </w:t>
      </w:r>
      <w:r>
        <w:rPr>
          <w:rFonts w:ascii="仿宋_GB2312" w:hAnsi="仿宋" w:eastAsia="仿宋_GB2312" w:cs="仿宋"/>
          <w:snapToGrid w:val="0"/>
          <w:color w:val="000000"/>
          <w:kern w:val="0"/>
          <w:sz w:val="32"/>
          <w:szCs w:val="32"/>
        </w:rPr>
        <w:t>给予本办法第二十二条第二、三、四项处理的被处理人正在申报财政性资金支持的科技计划项目及科技活动，或被推荐为相关候选人、被提名人、被推荐人等的，终止其申报资格或被提名、被推荐资格。</w:t>
      </w:r>
    </w:p>
    <w:p w14:paraId="64DAAD31">
      <w:pPr>
        <w:widowControl/>
        <w:kinsoku w:val="0"/>
        <w:autoSpaceDE w:val="0"/>
        <w:autoSpaceDN w:val="0"/>
        <w:adjustRightInd w:val="0"/>
        <w:snapToGrid w:val="0"/>
        <w:spacing w:line="360" w:lineRule="auto"/>
        <w:ind w:left="30" w:right="97" w:firstLine="653"/>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第二十四</w:t>
      </w:r>
      <w:r>
        <w:rPr>
          <w:rFonts w:ascii="仿宋" w:hAnsi="仿宋" w:eastAsia="仿宋" w:cs="仿宋"/>
          <w:b/>
          <w:bCs/>
          <w:snapToGrid w:val="0"/>
          <w:color w:val="000000"/>
          <w:spacing w:val="14"/>
          <w:kern w:val="0"/>
          <w:sz w:val="31"/>
          <w:szCs w:val="31"/>
        </w:rPr>
        <w:t>条</w:t>
      </w:r>
      <w:r>
        <w:rPr>
          <w:rFonts w:ascii="仿宋" w:hAnsi="仿宋" w:eastAsia="仿宋" w:cs="仿宋"/>
          <w:snapToGrid w:val="0"/>
          <w:color w:val="000000"/>
          <w:spacing w:val="14"/>
          <w:kern w:val="0"/>
          <w:sz w:val="31"/>
          <w:szCs w:val="31"/>
        </w:rPr>
        <w:t xml:space="preserve"> </w:t>
      </w:r>
      <w:r>
        <w:rPr>
          <w:rFonts w:ascii="仿宋_GB2312" w:hAnsi="仿宋" w:eastAsia="仿宋_GB2312" w:cs="仿宋"/>
          <w:snapToGrid w:val="0"/>
          <w:color w:val="000000"/>
          <w:kern w:val="0"/>
          <w:sz w:val="32"/>
          <w:szCs w:val="32"/>
        </w:rPr>
        <w:t>处理对象有以下情形之一的，可以从轻处理：</w:t>
      </w:r>
    </w:p>
    <w:p w14:paraId="2525DC75">
      <w:pPr>
        <w:widowControl/>
        <w:shd w:val="clear" w:color="auto" w:fill="FFFFFF"/>
        <w:adjustRightInd w:val="0"/>
        <w:snapToGrid w:val="0"/>
        <w:spacing w:line="360" w:lineRule="auto"/>
        <w:ind w:firstLine="482"/>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（一）有证据显示属于过失行为且未造成重大影响的；</w:t>
      </w:r>
    </w:p>
    <w:p w14:paraId="6E43289C">
      <w:pPr>
        <w:widowControl/>
        <w:shd w:val="clear" w:color="auto" w:fill="FFFFFF"/>
        <w:adjustRightInd w:val="0"/>
        <w:snapToGrid w:val="0"/>
        <w:spacing w:line="360" w:lineRule="auto"/>
        <w:ind w:firstLine="482"/>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（二）过错程度较轻且能积极配合调查的；</w:t>
      </w:r>
    </w:p>
    <w:p w14:paraId="0B63AE96">
      <w:pPr>
        <w:widowControl/>
        <w:shd w:val="clear" w:color="auto" w:fill="FFFFFF"/>
        <w:adjustRightInd w:val="0"/>
        <w:snapToGrid w:val="0"/>
        <w:spacing w:line="360" w:lineRule="auto"/>
        <w:ind w:firstLine="482"/>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（三）在调查处理前主动纠正错误，挽回损失或有效阻止危害结果发生的；</w:t>
      </w:r>
    </w:p>
    <w:p w14:paraId="133C2674">
      <w:pPr>
        <w:widowControl/>
        <w:shd w:val="clear" w:color="auto" w:fill="FFFFFF"/>
        <w:adjustRightInd w:val="0"/>
        <w:snapToGrid w:val="0"/>
        <w:spacing w:line="360" w:lineRule="auto"/>
        <w:ind w:firstLine="482"/>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（四）在调查中主动承认错误，配合调查和整改，并公开承诺严格遵守科研诚信要求、不再实施科研失信行为的。</w:t>
      </w:r>
    </w:p>
    <w:p w14:paraId="428C464C">
      <w:pPr>
        <w:widowControl/>
        <w:snapToGrid w:val="0"/>
        <w:spacing w:line="360" w:lineRule="auto"/>
        <w:ind w:firstLine="480" w:firstLineChars="150"/>
        <w:rPr>
          <w:rFonts w:hint="eastAsia" w:ascii="仿宋_GB2312" w:hAnsi="宋体" w:eastAsia="仿宋_GB2312" w:cs="宋体"/>
          <w:kern w:val="0"/>
          <w:sz w:val="32"/>
          <w:szCs w:val="32"/>
        </w:rPr>
      </w:pPr>
      <w:bookmarkStart w:id="13" w:name="OLE_LINK22"/>
      <w:bookmarkStart w:id="14" w:name="OLE_LINK23"/>
      <w:r>
        <w:rPr>
          <w:rFonts w:hint="eastAsia" w:ascii="仿宋_GB2312" w:hAnsi="仿宋" w:eastAsia="仿宋_GB2312" w:cs="仿宋"/>
          <w:snapToGrid w:val="0"/>
          <w:color w:val="000000"/>
          <w:kern w:val="0"/>
          <w:sz w:val="32"/>
          <w:szCs w:val="32"/>
        </w:rPr>
        <w:t>（五）</w:t>
      </w:r>
      <w:r>
        <w:rPr>
          <w:rFonts w:hint="eastAsia" w:ascii="仿宋_GB2312" w:hAnsi="宋体" w:eastAsia="仿宋_GB2312" w:cs="宋体"/>
          <w:kern w:val="0"/>
          <w:sz w:val="32"/>
          <w:szCs w:val="32"/>
        </w:rPr>
        <w:t>法律、法规、规章规定的和其他可以给予从轻处理的情形。</w:t>
      </w:r>
    </w:p>
    <w:bookmarkEnd w:id="13"/>
    <w:bookmarkEnd w:id="14"/>
    <w:p w14:paraId="3594E148">
      <w:pPr>
        <w:widowControl/>
        <w:kinsoku w:val="0"/>
        <w:autoSpaceDE w:val="0"/>
        <w:autoSpaceDN w:val="0"/>
        <w:adjustRightInd w:val="0"/>
        <w:snapToGrid w:val="0"/>
        <w:spacing w:line="360" w:lineRule="auto"/>
        <w:ind w:firstLine="644" w:firstLineChars="200"/>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第二十五条</w:t>
      </w:r>
      <w:r>
        <w:rPr>
          <w:rFonts w:ascii="仿宋" w:hAnsi="仿宋" w:eastAsia="仿宋" w:cs="仿宋"/>
          <w:snapToGrid w:val="0"/>
          <w:color w:val="000000"/>
          <w:spacing w:val="3"/>
          <w:kern w:val="0"/>
          <w:sz w:val="31"/>
          <w:szCs w:val="31"/>
        </w:rPr>
        <w:t xml:space="preserve"> </w:t>
      </w:r>
      <w:r>
        <w:rPr>
          <w:rFonts w:ascii="仿宋_GB2312" w:hAnsi="仿宋" w:eastAsia="仿宋_GB2312" w:cs="仿宋"/>
          <w:snapToGrid w:val="0"/>
          <w:color w:val="000000"/>
          <w:kern w:val="0"/>
          <w:sz w:val="32"/>
          <w:szCs w:val="32"/>
        </w:rPr>
        <w:t>处理对象有以下情形之一的，应从重处理：</w:t>
      </w:r>
    </w:p>
    <w:p w14:paraId="4F19C5BF">
      <w:pPr>
        <w:widowControl/>
        <w:kinsoku w:val="0"/>
        <w:autoSpaceDE w:val="0"/>
        <w:autoSpaceDN w:val="0"/>
        <w:adjustRightInd w:val="0"/>
        <w:snapToGrid w:val="0"/>
        <w:spacing w:line="360" w:lineRule="auto"/>
        <w:ind w:left="658"/>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（一）伪造、篡改、隐匿、销毁证据的；</w:t>
      </w:r>
    </w:p>
    <w:p w14:paraId="464664A1">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（二）阻挠他人提供证据，或干扰、妨碍调查核实的；</w:t>
      </w:r>
    </w:p>
    <w:p w14:paraId="40C811DE">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（三）打击、报复举报人、证人、调查人员的；</w:t>
      </w:r>
    </w:p>
    <w:p w14:paraId="4DB140E4">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（四）存在利益输送或利益交换的；</w:t>
      </w:r>
    </w:p>
    <w:p w14:paraId="33F7A277">
      <w:pPr>
        <w:widowControl/>
        <w:kinsoku w:val="0"/>
        <w:autoSpaceDE w:val="0"/>
        <w:autoSpaceDN w:val="0"/>
        <w:adjustRightInd w:val="0"/>
        <w:snapToGrid w:val="0"/>
        <w:spacing w:line="360" w:lineRule="auto"/>
        <w:ind w:left="65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（五）有组织地实施科研失信行为的；</w:t>
      </w:r>
    </w:p>
    <w:p w14:paraId="0B93DF8C">
      <w:pPr>
        <w:widowControl/>
        <w:kinsoku w:val="0"/>
        <w:autoSpaceDE w:val="0"/>
        <w:autoSpaceDN w:val="0"/>
        <w:adjustRightInd w:val="0"/>
        <w:snapToGrid w:val="0"/>
        <w:spacing w:line="360" w:lineRule="auto"/>
        <w:ind w:left="26" w:right="69" w:firstLine="632"/>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（六）多次实施科研失信行为或同时存在多种科研失信行为的；</w:t>
      </w:r>
    </w:p>
    <w:p w14:paraId="62E0212D">
      <w:pPr>
        <w:widowControl/>
        <w:snapToGrid w:val="0"/>
        <w:spacing w:line="360" w:lineRule="auto"/>
        <w:ind w:firstLine="640" w:firstLineChars="200"/>
        <w:jc w:val="left"/>
        <w:rPr>
          <w:rFonts w:hint="eastAsia" w:ascii="仿宋_GB2312" w:hAnsi="仿宋" w:eastAsia="仿宋_GB2312" w:cs="仿宋"/>
          <w:snapToGrid w:val="0"/>
          <w:color w:val="000000"/>
          <w:kern w:val="0"/>
          <w:sz w:val="32"/>
          <w:szCs w:val="32"/>
        </w:rPr>
      </w:pPr>
      <w:r>
        <w:rPr>
          <w:rFonts w:hint="eastAsia" w:ascii="仿宋_GB2312" w:hAnsi="仿宋" w:eastAsia="仿宋_GB2312" w:cs="仿宋"/>
          <w:snapToGrid w:val="0"/>
          <w:color w:val="000000"/>
          <w:kern w:val="0"/>
          <w:sz w:val="32"/>
          <w:szCs w:val="32"/>
        </w:rPr>
        <w:t>（七）法律、法规、规章和国家规定应从重处理的情形。</w:t>
      </w:r>
    </w:p>
    <w:p w14:paraId="331CF696">
      <w:pPr>
        <w:widowControl/>
        <w:kinsoku w:val="0"/>
        <w:autoSpaceDE w:val="0"/>
        <w:autoSpaceDN w:val="0"/>
        <w:adjustRightInd w:val="0"/>
        <w:snapToGrid w:val="0"/>
        <w:spacing w:line="360" w:lineRule="auto"/>
        <w:textAlignment w:val="baseline"/>
        <w:rPr>
          <w:rFonts w:hint="eastAsia" w:ascii="仿宋_GB2312" w:hAnsi="仿宋" w:eastAsia="仿宋_GB2312" w:cs="仿宋"/>
          <w:snapToGrid w:val="0"/>
          <w:color w:val="000000"/>
          <w:kern w:val="0"/>
          <w:sz w:val="32"/>
          <w:szCs w:val="32"/>
        </w:rPr>
      </w:pPr>
    </w:p>
    <w:p w14:paraId="2BEA2A75">
      <w:pPr>
        <w:widowControl/>
        <w:kinsoku w:val="0"/>
        <w:autoSpaceDE w:val="0"/>
        <w:autoSpaceDN w:val="0"/>
        <w:adjustRightInd w:val="0"/>
        <w:snapToGrid w:val="0"/>
        <w:spacing w:line="360" w:lineRule="auto"/>
        <w:ind w:left="2903"/>
        <w:textAlignment w:val="baseline"/>
        <w:rPr>
          <w:rFonts w:hint="eastAsia" w:ascii="黑体" w:hAnsi="黑体" w:eastAsia="黑体" w:cs="黑体"/>
          <w:snapToGrid w:val="0"/>
          <w:color w:val="000000"/>
          <w:kern w:val="0"/>
          <w:sz w:val="31"/>
          <w:szCs w:val="31"/>
        </w:rPr>
      </w:pPr>
      <w:r>
        <w:rPr>
          <w:rFonts w:ascii="黑体" w:hAnsi="黑体" w:eastAsia="黑体" w:cs="黑体"/>
          <w:snapToGrid w:val="0"/>
          <w:color w:val="000000"/>
          <w:spacing w:val="6"/>
          <w:kern w:val="0"/>
          <w:position w:val="1"/>
          <w:sz w:val="31"/>
          <w:szCs w:val="31"/>
        </w:rPr>
        <w:t>第五章  处理程序</w:t>
      </w:r>
    </w:p>
    <w:p w14:paraId="7985C7F9">
      <w:pPr>
        <w:widowControl/>
        <w:kinsoku w:val="0"/>
        <w:autoSpaceDE w:val="0"/>
        <w:autoSpaceDN w:val="0"/>
        <w:adjustRightInd w:val="0"/>
        <w:snapToGrid w:val="0"/>
        <w:spacing w:line="360" w:lineRule="auto"/>
        <w:ind w:right="69"/>
        <w:textAlignment w:val="baseline"/>
        <w:rPr>
          <w:rFonts w:hint="eastAsia" w:ascii="仿宋_GB2312" w:hAnsi="仿宋" w:eastAsia="仿宋_GB2312" w:cs="仿宋"/>
          <w:snapToGrid w:val="0"/>
          <w:color w:val="000000"/>
          <w:kern w:val="0"/>
          <w:sz w:val="32"/>
          <w:szCs w:val="32"/>
        </w:rPr>
      </w:pPr>
      <w:r>
        <w:rPr>
          <w:rFonts w:hint="eastAsia" w:ascii="黑体" w:hAnsi="黑体" w:eastAsia="黑体" w:cs="黑体"/>
          <w:snapToGrid w:val="0"/>
          <w:color w:val="000000"/>
          <w:spacing w:val="6"/>
          <w:kern w:val="0"/>
          <w:sz w:val="31"/>
          <w:szCs w:val="31"/>
        </w:rPr>
        <w:t>　　</w:t>
      </w:r>
      <w:r>
        <w:rPr>
          <w:rFonts w:ascii="黑体" w:hAnsi="黑体" w:eastAsia="黑体" w:cs="黑体"/>
          <w:snapToGrid w:val="0"/>
          <w:color w:val="000000"/>
          <w:spacing w:val="6"/>
          <w:kern w:val="0"/>
          <w:sz w:val="31"/>
          <w:szCs w:val="31"/>
        </w:rPr>
        <w:t>第二十六条</w:t>
      </w:r>
      <w:r>
        <w:rPr>
          <w:rFonts w:hint="eastAsia" w:ascii="黑体" w:hAnsi="黑体" w:eastAsia="黑体" w:cs="黑体"/>
          <w:snapToGrid w:val="0"/>
          <w:color w:val="000000"/>
          <w:spacing w:val="6"/>
          <w:kern w:val="0"/>
          <w:sz w:val="31"/>
          <w:szCs w:val="31"/>
        </w:rPr>
        <w:t xml:space="preserve"> </w:t>
      </w:r>
      <w:r>
        <w:rPr>
          <w:rFonts w:ascii="仿宋_GB2312" w:hAnsi="仿宋" w:eastAsia="仿宋_GB2312" w:cs="仿宋"/>
          <w:snapToGrid w:val="0"/>
          <w:color w:val="000000"/>
          <w:kern w:val="0"/>
          <w:sz w:val="32"/>
          <w:szCs w:val="32"/>
        </w:rPr>
        <w:t>根据举报或其他相关线索，对涉嫌违背科研诚信要求的行为开展调查并作出处理的案件按《</w:t>
      </w:r>
      <w:bookmarkStart w:id="15" w:name="_Toc182234561"/>
      <w:r>
        <w:rPr>
          <w:rFonts w:hint="eastAsia" w:ascii="仿宋_GB2312" w:hAnsi="仿宋" w:eastAsia="仿宋_GB2312" w:cs="仿宋"/>
          <w:snapToGrid w:val="0"/>
          <w:color w:val="000000"/>
          <w:kern w:val="0"/>
          <w:sz w:val="32"/>
          <w:szCs w:val="32"/>
        </w:rPr>
        <w:t>科学技术活动违规行为处理暂行规定</w:t>
      </w:r>
      <w:bookmarkEnd w:id="15"/>
      <w:r>
        <w:rPr>
          <w:rFonts w:ascii="仿宋_GB2312" w:hAnsi="仿宋" w:eastAsia="仿宋_GB2312" w:cs="仿宋"/>
          <w:snapToGrid w:val="0"/>
          <w:color w:val="000000"/>
          <w:kern w:val="0"/>
          <w:sz w:val="32"/>
          <w:szCs w:val="32"/>
        </w:rPr>
        <w:t>》</w:t>
      </w:r>
      <w:bookmarkStart w:id="16" w:name="_Toc182234562"/>
      <w:r>
        <w:rPr>
          <w:rFonts w:hint="eastAsia" w:ascii="仿宋_GB2312" w:hAnsi="仿宋" w:eastAsia="仿宋_GB2312" w:cs="仿宋"/>
          <w:snapToGrid w:val="0"/>
          <w:color w:val="000000"/>
          <w:kern w:val="0"/>
          <w:sz w:val="32"/>
          <w:szCs w:val="32"/>
        </w:rPr>
        <w:t>《科研失信行为调查处理规则</w:t>
      </w:r>
      <w:bookmarkEnd w:id="16"/>
      <w:r>
        <w:rPr>
          <w:rFonts w:hint="eastAsia" w:ascii="仿宋_GB2312" w:hAnsi="仿宋" w:eastAsia="仿宋_GB2312" w:cs="仿宋"/>
          <w:snapToGrid w:val="0"/>
          <w:color w:val="000000"/>
          <w:kern w:val="0"/>
          <w:sz w:val="32"/>
          <w:szCs w:val="32"/>
        </w:rPr>
        <w:t>》</w:t>
      </w:r>
      <w:r>
        <w:rPr>
          <w:rFonts w:ascii="仿宋_GB2312" w:hAnsi="仿宋" w:eastAsia="仿宋_GB2312" w:cs="仿宋"/>
          <w:snapToGrid w:val="0"/>
          <w:color w:val="000000"/>
          <w:kern w:val="0"/>
          <w:sz w:val="32"/>
          <w:szCs w:val="32"/>
        </w:rPr>
        <w:t>执行。</w:t>
      </w:r>
    </w:p>
    <w:p w14:paraId="7258013B">
      <w:pPr>
        <w:widowControl/>
        <w:kinsoku w:val="0"/>
        <w:autoSpaceDE w:val="0"/>
        <w:autoSpaceDN w:val="0"/>
        <w:adjustRightInd w:val="0"/>
        <w:snapToGrid w:val="0"/>
        <w:spacing w:line="360" w:lineRule="auto"/>
        <w:ind w:right="69"/>
        <w:textAlignment w:val="baseline"/>
        <w:rPr>
          <w:rFonts w:hint="eastAsia" w:ascii="仿宋_GB2312" w:hAnsi="仿宋" w:eastAsia="仿宋_GB2312" w:cs="仿宋"/>
          <w:snapToGrid w:val="0"/>
          <w:color w:val="000000"/>
          <w:kern w:val="0"/>
          <w:sz w:val="32"/>
          <w:szCs w:val="32"/>
        </w:rPr>
      </w:pPr>
      <w:r>
        <w:rPr>
          <w:rFonts w:hint="eastAsia" w:ascii="黑体" w:hAnsi="黑体" w:eastAsia="黑体" w:cs="黑体"/>
          <w:snapToGrid w:val="0"/>
          <w:color w:val="000000"/>
          <w:spacing w:val="6"/>
          <w:kern w:val="0"/>
          <w:sz w:val="31"/>
          <w:szCs w:val="31"/>
        </w:rPr>
        <w:t>　　</w:t>
      </w:r>
      <w:r>
        <w:rPr>
          <w:rFonts w:ascii="黑体" w:hAnsi="黑体" w:eastAsia="黑体" w:cs="黑体"/>
          <w:snapToGrid w:val="0"/>
          <w:color w:val="000000"/>
          <w:spacing w:val="6"/>
          <w:kern w:val="0"/>
          <w:sz w:val="31"/>
          <w:szCs w:val="31"/>
        </w:rPr>
        <w:t>第二十七条</w:t>
      </w:r>
      <w:r>
        <w:rPr>
          <w:rFonts w:hint="eastAsia" w:ascii="仿宋" w:hAnsi="仿宋" w:eastAsia="仿宋" w:cs="仿宋"/>
          <w:snapToGrid w:val="0"/>
          <w:color w:val="000000"/>
          <w:spacing w:val="14"/>
          <w:kern w:val="0"/>
          <w:sz w:val="31"/>
          <w:szCs w:val="31"/>
        </w:rPr>
        <w:t xml:space="preserve"> </w:t>
      </w:r>
      <w:r>
        <w:rPr>
          <w:rFonts w:ascii="仿宋_GB2312" w:hAnsi="仿宋" w:eastAsia="仿宋_GB2312" w:cs="仿宋"/>
          <w:snapToGrid w:val="0"/>
          <w:color w:val="000000"/>
          <w:kern w:val="0"/>
          <w:sz w:val="32"/>
          <w:szCs w:val="32"/>
        </w:rPr>
        <w:t>作出处理决定前，应当以书面形式告知责任主体拟做出的处理决定的事实、理由及依据，并告知其享有陈述与申辩的权利及其行使的方式和期限。责任主体未提出陈述或者申辩的，视为放弃陈述与申辩的权利；提出陈述或者申辩的，应充分听取其意见。</w:t>
      </w:r>
    </w:p>
    <w:p w14:paraId="516255E0">
      <w:pPr>
        <w:widowControl/>
        <w:kinsoku w:val="0"/>
        <w:autoSpaceDE w:val="0"/>
        <w:autoSpaceDN w:val="0"/>
        <w:adjustRightInd w:val="0"/>
        <w:snapToGrid w:val="0"/>
        <w:spacing w:line="360" w:lineRule="auto"/>
        <w:ind w:left="19" w:right="69" w:firstLine="664"/>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第二十八条</w:t>
      </w:r>
      <w:r>
        <w:rPr>
          <w:rFonts w:ascii="仿宋" w:hAnsi="仿宋" w:eastAsia="仿宋" w:cs="仿宋"/>
          <w:snapToGrid w:val="0"/>
          <w:color w:val="000000"/>
          <w:spacing w:val="14"/>
          <w:kern w:val="0"/>
          <w:sz w:val="31"/>
          <w:szCs w:val="31"/>
        </w:rPr>
        <w:t xml:space="preserve"> </w:t>
      </w:r>
      <w:r>
        <w:rPr>
          <w:rFonts w:ascii="仿宋_GB2312" w:hAnsi="仿宋" w:eastAsia="仿宋_GB2312" w:cs="仿宋"/>
          <w:snapToGrid w:val="0"/>
          <w:color w:val="000000"/>
          <w:kern w:val="0"/>
          <w:sz w:val="32"/>
          <w:szCs w:val="32"/>
        </w:rPr>
        <w:t>作出处理决定前，有证据表明有关责任主体存在违规行为并已经造成恶劣影响，或者财政资金面临严重损失风险的，市科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局有权采取暂停拨付相应财政资金、暂停受理相关责任主体申报新的科技计划项目和其他科技业务、暂停相关科技计划项目的实施等措施，防止影响或者损失扩大。</w:t>
      </w:r>
    </w:p>
    <w:p w14:paraId="184B023D">
      <w:pPr>
        <w:widowControl/>
        <w:kinsoku w:val="0"/>
        <w:autoSpaceDE w:val="0"/>
        <w:autoSpaceDN w:val="0"/>
        <w:adjustRightInd w:val="0"/>
        <w:snapToGrid w:val="0"/>
        <w:spacing w:line="360" w:lineRule="auto"/>
        <w:ind w:left="29" w:right="84" w:firstLine="654"/>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第二十九条</w:t>
      </w:r>
      <w:r>
        <w:rPr>
          <w:rFonts w:ascii="仿宋" w:hAnsi="仿宋" w:eastAsia="仿宋" w:cs="仿宋"/>
          <w:snapToGrid w:val="0"/>
          <w:color w:val="000000"/>
          <w:spacing w:val="14"/>
          <w:kern w:val="0"/>
          <w:sz w:val="31"/>
          <w:szCs w:val="31"/>
        </w:rPr>
        <w:t xml:space="preserve"> </w:t>
      </w:r>
      <w:r>
        <w:rPr>
          <w:rFonts w:ascii="仿宋_GB2312" w:hAnsi="仿宋" w:eastAsia="仿宋_GB2312" w:cs="仿宋"/>
          <w:snapToGrid w:val="0"/>
          <w:color w:val="000000"/>
          <w:kern w:val="0"/>
          <w:sz w:val="32"/>
          <w:szCs w:val="32"/>
        </w:rPr>
        <w:t>处理对象对处理决定不服的，可以自收到处理决定书之日起15个工作日内，按照处理决定书载明的救济途径提出书面复查申请，写明理由并且提供相关证据或者线索。</w:t>
      </w:r>
    </w:p>
    <w:p w14:paraId="3A77FA06">
      <w:pPr>
        <w:widowControl/>
        <w:kinsoku w:val="0"/>
        <w:autoSpaceDE w:val="0"/>
        <w:autoSpaceDN w:val="0"/>
        <w:adjustRightInd w:val="0"/>
        <w:snapToGrid w:val="0"/>
        <w:spacing w:line="360" w:lineRule="auto"/>
        <w:ind w:left="25" w:firstLine="65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局自收到复查申请之日起15个工作日内作出是否受理的决定。处理对象仅以对处理决定不服为由，不能说明其他理由并且提供充分证据，市科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局有权不予受理。市科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局决定受理的，自受理之日起90个工作日内完成复查，并且送达处理对象。复查期间，不停止原处理决定的执行。</w:t>
      </w:r>
    </w:p>
    <w:p w14:paraId="7E14FD16">
      <w:pPr>
        <w:widowControl/>
        <w:kinsoku w:val="0"/>
        <w:autoSpaceDE w:val="0"/>
        <w:autoSpaceDN w:val="0"/>
        <w:adjustRightInd w:val="0"/>
        <w:snapToGrid w:val="0"/>
        <w:spacing w:line="360" w:lineRule="auto"/>
        <w:ind w:left="25" w:firstLine="655"/>
        <w:textAlignment w:val="baseline"/>
        <w:rPr>
          <w:rFonts w:hint="eastAsia" w:ascii="仿宋_GB2312" w:hAnsi="仿宋" w:eastAsia="仿宋_GB2312" w:cs="仿宋"/>
          <w:snapToGrid w:val="0"/>
          <w:color w:val="000000"/>
          <w:kern w:val="0"/>
          <w:sz w:val="32"/>
          <w:szCs w:val="32"/>
        </w:rPr>
      </w:pPr>
      <w:r>
        <w:rPr>
          <w:rFonts w:hint="eastAsia" w:ascii="仿宋_GB2312" w:hAnsi="Helvetica" w:eastAsia="仿宋_GB2312" w:cs="宋体"/>
          <w:color w:val="333333"/>
          <w:kern w:val="0"/>
          <w:sz w:val="32"/>
          <w:szCs w:val="32"/>
        </w:rPr>
        <w:t>被处理单位或人员也可以不经复查，直接依法申请复议或提起诉讼。</w:t>
      </w:r>
    </w:p>
    <w:p w14:paraId="684D966D">
      <w:pPr>
        <w:widowControl/>
        <w:kinsoku w:val="0"/>
        <w:autoSpaceDE w:val="0"/>
        <w:autoSpaceDN w:val="0"/>
        <w:adjustRightInd w:val="0"/>
        <w:snapToGrid w:val="0"/>
        <w:spacing w:line="360" w:lineRule="auto"/>
        <w:ind w:left="29" w:right="84" w:firstLine="654"/>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第三十条</w:t>
      </w:r>
      <w:r>
        <w:rPr>
          <w:rFonts w:ascii="仿宋" w:hAnsi="仿宋" w:eastAsia="仿宋" w:cs="仿宋"/>
          <w:snapToGrid w:val="0"/>
          <w:color w:val="000000"/>
          <w:spacing w:val="63"/>
          <w:kern w:val="0"/>
          <w:sz w:val="31"/>
          <w:szCs w:val="31"/>
        </w:rPr>
        <w:t xml:space="preserve"> </w:t>
      </w:r>
      <w:r>
        <w:rPr>
          <w:rFonts w:ascii="仿宋_GB2312" w:hAnsi="仿宋" w:eastAsia="仿宋_GB2312" w:cs="仿宋"/>
          <w:snapToGrid w:val="0"/>
          <w:color w:val="000000"/>
          <w:kern w:val="0"/>
          <w:sz w:val="32"/>
          <w:szCs w:val="32"/>
        </w:rPr>
        <w:t>限制或者取消资格期限自处理决定下达之日起计算，处理决定作出前已执行本办法规定的暂停活动的，暂停期限可以折抵处理期限。</w:t>
      </w:r>
    </w:p>
    <w:p w14:paraId="70482C5C">
      <w:pPr>
        <w:widowControl/>
        <w:kinsoku w:val="0"/>
        <w:autoSpaceDE w:val="0"/>
        <w:autoSpaceDN w:val="0"/>
        <w:adjustRightInd w:val="0"/>
        <w:snapToGrid w:val="0"/>
        <w:spacing w:line="360" w:lineRule="auto"/>
        <w:ind w:left="30" w:right="83" w:firstLine="653"/>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6"/>
          <w:kern w:val="0"/>
          <w:sz w:val="31"/>
          <w:szCs w:val="31"/>
        </w:rPr>
        <w:t>第三十一条</w:t>
      </w:r>
      <w:r>
        <w:rPr>
          <w:rFonts w:ascii="仿宋" w:hAnsi="仿宋" w:eastAsia="仿宋" w:cs="仿宋"/>
          <w:snapToGrid w:val="0"/>
          <w:color w:val="000000"/>
          <w:spacing w:val="14"/>
          <w:kern w:val="0"/>
          <w:sz w:val="31"/>
          <w:szCs w:val="31"/>
        </w:rPr>
        <w:t xml:space="preserve"> </w:t>
      </w:r>
      <w:r>
        <w:rPr>
          <w:rFonts w:ascii="仿宋_GB2312" w:hAnsi="仿宋" w:eastAsia="仿宋_GB2312" w:cs="仿宋"/>
          <w:snapToGrid w:val="0"/>
          <w:color w:val="000000"/>
          <w:kern w:val="0"/>
          <w:sz w:val="32"/>
          <w:szCs w:val="32"/>
        </w:rPr>
        <w:t>相关责任主体发生失信行为，涉嫌违反党纪政纪、违法犯罪的，移交有关机关处理。对于第三方科学技术服务机构及人员发生严重失信行为的，可视情况将相关问题及线索移交具有处罚或处理权限的主管部门或行业协会处理。</w:t>
      </w:r>
    </w:p>
    <w:p w14:paraId="39DFD227">
      <w:pPr>
        <w:widowControl/>
        <w:kinsoku w:val="0"/>
        <w:autoSpaceDE w:val="0"/>
        <w:autoSpaceDN w:val="0"/>
        <w:adjustRightInd w:val="0"/>
        <w:snapToGrid w:val="0"/>
        <w:spacing w:line="360" w:lineRule="auto"/>
        <w:textAlignment w:val="baseline"/>
        <w:rPr>
          <w:rFonts w:ascii="Arial" w:hAnsi="Arial" w:eastAsia="Arial" w:cs="Arial"/>
          <w:snapToGrid w:val="0"/>
          <w:color w:val="000000"/>
          <w:kern w:val="0"/>
          <w:szCs w:val="21"/>
        </w:rPr>
      </w:pPr>
    </w:p>
    <w:p w14:paraId="0A8CCA13">
      <w:pPr>
        <w:widowControl/>
        <w:kinsoku w:val="0"/>
        <w:autoSpaceDE w:val="0"/>
        <w:autoSpaceDN w:val="0"/>
        <w:adjustRightInd w:val="0"/>
        <w:snapToGrid w:val="0"/>
        <w:spacing w:line="360" w:lineRule="auto"/>
        <w:ind w:left="2982"/>
        <w:textAlignment w:val="baseline"/>
        <w:rPr>
          <w:rFonts w:hint="eastAsia" w:ascii="黑体" w:hAnsi="黑体" w:eastAsia="黑体" w:cs="黑体"/>
          <w:snapToGrid w:val="0"/>
          <w:color w:val="000000"/>
          <w:kern w:val="0"/>
          <w:sz w:val="31"/>
          <w:szCs w:val="31"/>
        </w:rPr>
      </w:pPr>
      <w:r>
        <w:rPr>
          <w:rFonts w:ascii="黑体" w:hAnsi="黑体" w:eastAsia="黑体" w:cs="黑体"/>
          <w:snapToGrid w:val="0"/>
          <w:color w:val="000000"/>
          <w:spacing w:val="7"/>
          <w:kern w:val="0"/>
          <w:position w:val="1"/>
          <w:sz w:val="31"/>
          <w:szCs w:val="31"/>
        </w:rPr>
        <w:t>第六章 信用修复</w:t>
      </w:r>
    </w:p>
    <w:p w14:paraId="5E773257">
      <w:pPr>
        <w:widowControl/>
        <w:kinsoku w:val="0"/>
        <w:autoSpaceDE w:val="0"/>
        <w:autoSpaceDN w:val="0"/>
        <w:adjustRightInd w:val="0"/>
        <w:snapToGrid w:val="0"/>
        <w:spacing w:line="360" w:lineRule="auto"/>
        <w:ind w:left="31" w:right="81" w:firstLine="639"/>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第三十二条 </w:t>
      </w:r>
      <w:r>
        <w:rPr>
          <w:rFonts w:ascii="仿宋_GB2312" w:hAnsi="仿宋" w:eastAsia="仿宋_GB2312" w:cs="仿宋"/>
          <w:snapToGrid w:val="0"/>
          <w:color w:val="000000"/>
          <w:kern w:val="0"/>
          <w:sz w:val="32"/>
          <w:szCs w:val="32"/>
        </w:rPr>
        <w:t>处理对象在惩戒期内通过履行义务、积极整改，弥补损失等取得显著成效，或者为经济社会发展做出重大贡献的，可以申请信用修复，经市科</w:t>
      </w:r>
      <w:r>
        <w:rPr>
          <w:rFonts w:hint="eastAsia" w:ascii="仿宋_GB2312" w:hAnsi="仿宋" w:eastAsia="仿宋_GB2312" w:cs="仿宋"/>
          <w:snapToGrid w:val="0"/>
          <w:color w:val="000000"/>
          <w:kern w:val="0"/>
          <w:sz w:val="32"/>
          <w:szCs w:val="32"/>
        </w:rPr>
        <w:t>技</w:t>
      </w:r>
      <w:r>
        <w:rPr>
          <w:rFonts w:ascii="仿宋_GB2312" w:hAnsi="仿宋" w:eastAsia="仿宋_GB2312" w:cs="仿宋"/>
          <w:snapToGrid w:val="0"/>
          <w:color w:val="000000"/>
          <w:kern w:val="0"/>
          <w:sz w:val="32"/>
          <w:szCs w:val="32"/>
        </w:rPr>
        <w:t>局审定，可减少惩戒期限或者将其移出科研诚信异常名录。未提出信用修复申请的，惩戒期满后自动恢复信用并移出科研诚信异常名录。</w:t>
      </w:r>
    </w:p>
    <w:p w14:paraId="594AF2C7">
      <w:pPr>
        <w:widowControl/>
        <w:kinsoku w:val="0"/>
        <w:autoSpaceDE w:val="0"/>
        <w:autoSpaceDN w:val="0"/>
        <w:adjustRightInd w:val="0"/>
        <w:snapToGrid w:val="0"/>
        <w:spacing w:line="360" w:lineRule="auto"/>
        <w:ind w:left="30" w:right="247" w:firstLine="67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因不可抗力、外部环境发生重大变化、全市公共信用工作部署发生调整、市政府另有决定或者规定等原因，可在一定期限内暂缓或者取消实施惩戒措施。</w:t>
      </w:r>
    </w:p>
    <w:p w14:paraId="78F20039">
      <w:pPr>
        <w:widowControl/>
        <w:kinsoku w:val="0"/>
        <w:autoSpaceDE w:val="0"/>
        <w:autoSpaceDN w:val="0"/>
        <w:adjustRightInd w:val="0"/>
        <w:snapToGrid w:val="0"/>
        <w:spacing w:line="360" w:lineRule="auto"/>
        <w:ind w:left="22" w:right="247" w:firstLine="648"/>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15"/>
          <w:kern w:val="0"/>
          <w:sz w:val="31"/>
          <w:szCs w:val="31"/>
        </w:rPr>
        <w:t xml:space="preserve">第三十三条 </w:t>
      </w:r>
      <w:r>
        <w:rPr>
          <w:rFonts w:ascii="仿宋_GB2312" w:hAnsi="仿宋" w:eastAsia="仿宋_GB2312" w:cs="仿宋"/>
          <w:snapToGrid w:val="0"/>
          <w:color w:val="000000"/>
          <w:kern w:val="0"/>
          <w:sz w:val="32"/>
          <w:szCs w:val="32"/>
        </w:rPr>
        <w:t>提出信用修复申请，应当同时满足以下条件：</w:t>
      </w:r>
    </w:p>
    <w:p w14:paraId="1BD1901D">
      <w:pPr>
        <w:widowControl/>
        <w:kinsoku w:val="0"/>
        <w:autoSpaceDE w:val="0"/>
        <w:autoSpaceDN w:val="0"/>
        <w:adjustRightInd w:val="0"/>
        <w:snapToGrid w:val="0"/>
        <w:spacing w:line="360" w:lineRule="auto"/>
        <w:ind w:left="16" w:right="249" w:firstLine="642"/>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（一）完全履行行政处理决定规定的义务，主动纠正失信行为、消除不良社会影响，且惩戒期内未产生新的科研失信行为；</w:t>
      </w:r>
    </w:p>
    <w:p w14:paraId="30B272D8">
      <w:pPr>
        <w:widowControl/>
        <w:kinsoku w:val="0"/>
        <w:autoSpaceDE w:val="0"/>
        <w:autoSpaceDN w:val="0"/>
        <w:adjustRightInd w:val="0"/>
        <w:snapToGrid w:val="0"/>
        <w:spacing w:line="360" w:lineRule="auto"/>
        <w:ind w:left="40" w:right="165" w:firstLine="61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（二）达到最短惩戒期限。按照本办法第二十二条规定，受到三年以下（含三年）失信惩戒的，最短惩戒期为</w:t>
      </w:r>
      <w:r>
        <w:rPr>
          <w:rFonts w:hint="eastAsia" w:ascii="仿宋_GB2312" w:hAnsi="仿宋" w:eastAsia="仿宋_GB2312" w:cs="仿宋"/>
          <w:snapToGrid w:val="0"/>
          <w:color w:val="000000"/>
          <w:kern w:val="0"/>
          <w:sz w:val="32"/>
          <w:szCs w:val="32"/>
        </w:rPr>
        <w:t>三个月</w:t>
      </w:r>
      <w:r>
        <w:rPr>
          <w:rFonts w:ascii="仿宋_GB2312" w:hAnsi="仿宋" w:eastAsia="仿宋_GB2312" w:cs="仿宋"/>
          <w:snapToGrid w:val="0"/>
          <w:color w:val="000000"/>
          <w:kern w:val="0"/>
          <w:sz w:val="32"/>
          <w:szCs w:val="32"/>
        </w:rPr>
        <w:t>；受到三年以上失信惩戒的，最短惩戒期为</w:t>
      </w:r>
      <w:r>
        <w:rPr>
          <w:rFonts w:hint="eastAsia" w:ascii="仿宋_GB2312" w:hAnsi="仿宋" w:eastAsia="仿宋_GB2312" w:cs="仿宋"/>
          <w:snapToGrid w:val="0"/>
          <w:color w:val="000000"/>
          <w:kern w:val="0"/>
          <w:sz w:val="32"/>
          <w:szCs w:val="32"/>
        </w:rPr>
        <w:t>六个月</w:t>
      </w:r>
      <w:r>
        <w:rPr>
          <w:rFonts w:ascii="仿宋_GB2312" w:hAnsi="仿宋" w:eastAsia="仿宋_GB2312" w:cs="仿宋"/>
          <w:snapToGrid w:val="0"/>
          <w:color w:val="000000"/>
          <w:kern w:val="0"/>
          <w:sz w:val="32"/>
          <w:szCs w:val="32"/>
        </w:rPr>
        <w:t>；</w:t>
      </w:r>
    </w:p>
    <w:p w14:paraId="10DD0342">
      <w:pPr>
        <w:widowControl/>
        <w:kinsoku w:val="0"/>
        <w:autoSpaceDE w:val="0"/>
        <w:autoSpaceDN w:val="0"/>
        <w:adjustRightInd w:val="0"/>
        <w:snapToGrid w:val="0"/>
        <w:spacing w:line="360" w:lineRule="auto"/>
        <w:ind w:left="36" w:right="247" w:firstLine="622"/>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（三）公开作出信用承诺。承诺内容应包括所提交材料真实有效，并明确愿意承担违反承诺的相应责任。</w:t>
      </w:r>
    </w:p>
    <w:p w14:paraId="24E15AA4">
      <w:pPr>
        <w:widowControl/>
        <w:kinsoku w:val="0"/>
        <w:autoSpaceDE w:val="0"/>
        <w:autoSpaceDN w:val="0"/>
        <w:adjustRightInd w:val="0"/>
        <w:snapToGrid w:val="0"/>
        <w:spacing w:line="360" w:lineRule="auto"/>
        <w:ind w:left="23" w:right="247" w:firstLine="64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提出信用修复申请的责任主体应当努力提升自身信用 状态，积极参与社会公益事业、志愿服务、为经济社会发展做出重大贡献等，可作为信用修复认定标准的参考因素。</w:t>
      </w:r>
    </w:p>
    <w:p w14:paraId="4263FFFA">
      <w:pPr>
        <w:widowControl/>
        <w:kinsoku w:val="0"/>
        <w:autoSpaceDE w:val="0"/>
        <w:autoSpaceDN w:val="0"/>
        <w:adjustRightInd w:val="0"/>
        <w:snapToGrid w:val="0"/>
        <w:spacing w:line="360" w:lineRule="auto"/>
        <w:ind w:left="671"/>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spacing w:val="7"/>
          <w:kern w:val="0"/>
          <w:position w:val="1"/>
          <w:sz w:val="31"/>
          <w:szCs w:val="31"/>
        </w:rPr>
        <w:t xml:space="preserve">第三十四条 </w:t>
      </w:r>
      <w:r>
        <w:rPr>
          <w:rFonts w:ascii="仿宋_GB2312" w:hAnsi="仿宋" w:eastAsia="仿宋_GB2312" w:cs="仿宋"/>
          <w:snapToGrid w:val="0"/>
          <w:color w:val="000000"/>
          <w:kern w:val="0"/>
          <w:sz w:val="32"/>
          <w:szCs w:val="32"/>
        </w:rPr>
        <w:t>信用修复程序：</w:t>
      </w:r>
    </w:p>
    <w:p w14:paraId="4E29CF1E">
      <w:pPr>
        <w:widowControl/>
        <w:kinsoku w:val="0"/>
        <w:autoSpaceDE w:val="0"/>
        <w:autoSpaceDN w:val="0"/>
        <w:adjustRightInd w:val="0"/>
        <w:snapToGrid w:val="0"/>
        <w:spacing w:line="360" w:lineRule="auto"/>
        <w:ind w:left="25" w:right="249" w:firstLine="634"/>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（一）提出申请。</w:t>
      </w:r>
      <w:r>
        <w:rPr>
          <w:rFonts w:hint="eastAsia" w:ascii="仿宋_GB2312" w:hAnsi="仿宋" w:eastAsia="仿宋_GB2312" w:cs="仿宋"/>
          <w:snapToGrid w:val="0"/>
          <w:color w:val="000000"/>
          <w:kern w:val="0"/>
          <w:sz w:val="32"/>
          <w:szCs w:val="32"/>
        </w:rPr>
        <w:t>申请人</w:t>
      </w:r>
      <w:r>
        <w:rPr>
          <w:rFonts w:ascii="仿宋_GB2312" w:hAnsi="仿宋" w:eastAsia="仿宋_GB2312" w:cs="仿宋"/>
          <w:snapToGrid w:val="0"/>
          <w:color w:val="000000"/>
          <w:kern w:val="0"/>
          <w:sz w:val="32"/>
          <w:szCs w:val="32"/>
        </w:rPr>
        <w:t>向市</w:t>
      </w:r>
      <w:r>
        <w:rPr>
          <w:rFonts w:hint="eastAsia" w:ascii="仿宋_GB2312" w:hAnsi="仿宋" w:eastAsia="仿宋_GB2312" w:cs="仿宋"/>
          <w:snapToGrid w:val="0"/>
          <w:color w:val="000000"/>
          <w:kern w:val="0"/>
          <w:sz w:val="32"/>
          <w:szCs w:val="32"/>
        </w:rPr>
        <w:t>科技</w:t>
      </w:r>
      <w:r>
        <w:rPr>
          <w:rFonts w:ascii="仿宋_GB2312" w:hAnsi="仿宋" w:eastAsia="仿宋_GB2312" w:cs="仿宋"/>
          <w:snapToGrid w:val="0"/>
          <w:color w:val="000000"/>
          <w:kern w:val="0"/>
          <w:sz w:val="32"/>
          <w:szCs w:val="32"/>
        </w:rPr>
        <w:t>局提交信用修复申请书和相关证明材料。</w:t>
      </w:r>
    </w:p>
    <w:p w14:paraId="57A6B1AB">
      <w:pPr>
        <w:widowControl/>
        <w:kinsoku w:val="0"/>
        <w:autoSpaceDE w:val="0"/>
        <w:autoSpaceDN w:val="0"/>
        <w:adjustRightInd w:val="0"/>
        <w:snapToGrid w:val="0"/>
        <w:spacing w:line="360" w:lineRule="auto"/>
        <w:ind w:left="44" w:right="249" w:firstLine="615"/>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（二）受理申请。市</w:t>
      </w:r>
      <w:r>
        <w:rPr>
          <w:rFonts w:hint="eastAsia" w:ascii="仿宋_GB2312" w:hAnsi="仿宋" w:eastAsia="仿宋_GB2312" w:cs="仿宋"/>
          <w:snapToGrid w:val="0"/>
          <w:color w:val="000000"/>
          <w:kern w:val="0"/>
          <w:sz w:val="32"/>
          <w:szCs w:val="32"/>
        </w:rPr>
        <w:t>科技</w:t>
      </w:r>
      <w:r>
        <w:rPr>
          <w:rFonts w:ascii="仿宋_GB2312" w:hAnsi="仿宋" w:eastAsia="仿宋_GB2312" w:cs="仿宋"/>
          <w:snapToGrid w:val="0"/>
          <w:color w:val="000000"/>
          <w:kern w:val="0"/>
          <w:sz w:val="32"/>
          <w:szCs w:val="32"/>
        </w:rPr>
        <w:t>局对科研信用修复申请材料的完整性、相关性进行审核，确定是否受理。不予受理的，应告知申请者不予受理的理由。</w:t>
      </w:r>
    </w:p>
    <w:p w14:paraId="7AA5B8D7">
      <w:pPr>
        <w:widowControl/>
        <w:kinsoku w:val="0"/>
        <w:autoSpaceDE w:val="0"/>
        <w:autoSpaceDN w:val="0"/>
        <w:adjustRightInd w:val="0"/>
        <w:snapToGrid w:val="0"/>
        <w:spacing w:line="360" w:lineRule="auto"/>
        <w:ind w:firstLine="640" w:firstLineChars="200"/>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（三）专家组审核。组织专家进行审核，给出审核意见。</w:t>
      </w:r>
    </w:p>
    <w:p w14:paraId="60756638">
      <w:pPr>
        <w:widowControl/>
        <w:kinsoku w:val="0"/>
        <w:autoSpaceDE w:val="0"/>
        <w:autoSpaceDN w:val="0"/>
        <w:adjustRightInd w:val="0"/>
        <w:snapToGrid w:val="0"/>
        <w:spacing w:line="360" w:lineRule="auto"/>
        <w:ind w:left="30" w:firstLine="629"/>
        <w:textAlignment w:val="baseline"/>
        <w:rPr>
          <w:rFonts w:hint="eastAsia" w:ascii="仿宋_GB2312" w:hAnsi="仿宋" w:eastAsia="仿宋_GB2312" w:cs="仿宋"/>
          <w:snapToGrid w:val="0"/>
          <w:color w:val="000000"/>
          <w:kern w:val="0"/>
          <w:sz w:val="32"/>
          <w:szCs w:val="32"/>
        </w:rPr>
      </w:pPr>
      <w:r>
        <w:rPr>
          <w:rFonts w:ascii="仿宋_GB2312" w:hAnsi="仿宋" w:eastAsia="仿宋_GB2312" w:cs="仿宋"/>
          <w:snapToGrid w:val="0"/>
          <w:color w:val="000000"/>
          <w:kern w:val="0"/>
          <w:sz w:val="32"/>
          <w:szCs w:val="32"/>
        </w:rPr>
        <w:t>（四）审核结论。参考专家意见确定是否予以信用修复。 予以信用修复的，恢复申请者的科研信用。不予信用修复的， 将结果告知申请主体。</w:t>
      </w:r>
    </w:p>
    <w:p w14:paraId="26E8344A">
      <w:pPr>
        <w:widowControl/>
        <w:kinsoku w:val="0"/>
        <w:autoSpaceDE w:val="0"/>
        <w:autoSpaceDN w:val="0"/>
        <w:adjustRightInd w:val="0"/>
        <w:snapToGrid w:val="0"/>
        <w:spacing w:line="360" w:lineRule="auto"/>
        <w:textAlignment w:val="baseline"/>
        <w:rPr>
          <w:rFonts w:ascii="Arial" w:hAnsi="Arial" w:eastAsia="Arial" w:cs="Arial"/>
          <w:snapToGrid w:val="0"/>
          <w:color w:val="000000"/>
          <w:kern w:val="0"/>
          <w:szCs w:val="21"/>
        </w:rPr>
      </w:pPr>
    </w:p>
    <w:p w14:paraId="4B828BD0">
      <w:pPr>
        <w:widowControl/>
        <w:kinsoku w:val="0"/>
        <w:autoSpaceDE w:val="0"/>
        <w:autoSpaceDN w:val="0"/>
        <w:adjustRightInd w:val="0"/>
        <w:snapToGrid w:val="0"/>
        <w:spacing w:line="360" w:lineRule="auto"/>
        <w:ind w:left="3303"/>
        <w:textAlignment w:val="baseline"/>
        <w:rPr>
          <w:rFonts w:hint="eastAsia" w:ascii="黑体" w:hAnsi="黑体" w:eastAsia="黑体" w:cs="黑体"/>
          <w:snapToGrid w:val="0"/>
          <w:color w:val="000000"/>
          <w:kern w:val="0"/>
          <w:sz w:val="31"/>
          <w:szCs w:val="31"/>
        </w:rPr>
      </w:pPr>
      <w:r>
        <w:rPr>
          <w:rFonts w:ascii="黑体" w:hAnsi="黑体" w:eastAsia="黑体" w:cs="黑体"/>
          <w:snapToGrid w:val="0"/>
          <w:color w:val="000000"/>
          <w:spacing w:val="-1"/>
          <w:kern w:val="0"/>
          <w:position w:val="1"/>
          <w:sz w:val="31"/>
          <w:szCs w:val="31"/>
        </w:rPr>
        <w:t>第七章</w:t>
      </w:r>
      <w:r>
        <w:rPr>
          <w:rFonts w:ascii="黑体" w:hAnsi="黑体" w:eastAsia="黑体" w:cs="黑体"/>
          <w:snapToGrid w:val="0"/>
          <w:color w:val="000000"/>
          <w:spacing w:val="22"/>
          <w:kern w:val="0"/>
          <w:position w:val="1"/>
          <w:sz w:val="31"/>
          <w:szCs w:val="31"/>
        </w:rPr>
        <w:t xml:space="preserve">  </w:t>
      </w:r>
      <w:r>
        <w:rPr>
          <w:rFonts w:ascii="黑体" w:hAnsi="黑体" w:eastAsia="黑体" w:cs="黑体"/>
          <w:snapToGrid w:val="0"/>
          <w:color w:val="000000"/>
          <w:spacing w:val="-1"/>
          <w:kern w:val="0"/>
          <w:position w:val="1"/>
          <w:sz w:val="31"/>
          <w:szCs w:val="31"/>
        </w:rPr>
        <w:t>附则</w:t>
      </w:r>
    </w:p>
    <w:p w14:paraId="18FADCE4">
      <w:pPr>
        <w:widowControl/>
        <w:kinsoku w:val="0"/>
        <w:autoSpaceDE w:val="0"/>
        <w:autoSpaceDN w:val="0"/>
        <w:adjustRightInd w:val="0"/>
        <w:snapToGrid w:val="0"/>
        <w:spacing w:line="360" w:lineRule="auto"/>
        <w:ind w:left="671"/>
        <w:textAlignment w:val="baseline"/>
        <w:rPr>
          <w:rFonts w:hint="eastAsia" w:ascii="仿宋" w:hAnsi="仿宋" w:eastAsia="仿宋" w:cs="仿宋"/>
          <w:snapToGrid w:val="0"/>
          <w:color w:val="000000"/>
          <w:kern w:val="0"/>
          <w:sz w:val="31"/>
          <w:szCs w:val="31"/>
        </w:rPr>
      </w:pPr>
      <w:r>
        <w:rPr>
          <w:rFonts w:ascii="黑体" w:hAnsi="黑体" w:eastAsia="黑体" w:cs="黑体"/>
          <w:snapToGrid w:val="0"/>
          <w:color w:val="000000"/>
          <w:spacing w:val="8"/>
          <w:kern w:val="0"/>
          <w:position w:val="1"/>
          <w:sz w:val="31"/>
          <w:szCs w:val="31"/>
        </w:rPr>
        <w:t>第三十五条</w:t>
      </w:r>
      <w:r>
        <w:rPr>
          <w:rFonts w:hint="eastAsia" w:ascii="黑体" w:hAnsi="黑体" w:eastAsia="黑体" w:cs="黑体"/>
          <w:snapToGrid w:val="0"/>
          <w:color w:val="000000"/>
          <w:spacing w:val="8"/>
          <w:kern w:val="0"/>
          <w:position w:val="1"/>
          <w:sz w:val="31"/>
          <w:szCs w:val="31"/>
        </w:rPr>
        <w:t xml:space="preserve"> </w:t>
      </w:r>
      <w:r>
        <w:rPr>
          <w:rFonts w:ascii="仿宋_GB2312" w:hAnsi="仿宋" w:eastAsia="仿宋_GB2312" w:cs="仿宋"/>
          <w:snapToGrid w:val="0"/>
          <w:color w:val="000000"/>
          <w:kern w:val="0"/>
          <w:sz w:val="32"/>
          <w:szCs w:val="32"/>
        </w:rPr>
        <w:t>本办法由</w:t>
      </w:r>
      <w:r>
        <w:rPr>
          <w:rFonts w:hint="eastAsia" w:ascii="仿宋_GB2312" w:hAnsi="仿宋" w:eastAsia="仿宋_GB2312" w:cs="仿宋"/>
          <w:snapToGrid w:val="0"/>
          <w:color w:val="000000"/>
          <w:kern w:val="0"/>
          <w:sz w:val="32"/>
          <w:szCs w:val="32"/>
        </w:rPr>
        <w:t>苏州</w:t>
      </w:r>
      <w:r>
        <w:rPr>
          <w:rFonts w:ascii="仿宋_GB2312" w:hAnsi="仿宋" w:eastAsia="仿宋_GB2312" w:cs="仿宋"/>
          <w:snapToGrid w:val="0"/>
          <w:color w:val="000000"/>
          <w:kern w:val="0"/>
          <w:sz w:val="32"/>
          <w:szCs w:val="32"/>
        </w:rPr>
        <w:t>市</w:t>
      </w:r>
      <w:r>
        <w:rPr>
          <w:rFonts w:hint="eastAsia" w:ascii="仿宋_GB2312" w:hAnsi="仿宋" w:eastAsia="仿宋_GB2312" w:cs="仿宋"/>
          <w:snapToGrid w:val="0"/>
          <w:color w:val="000000"/>
          <w:kern w:val="0"/>
          <w:sz w:val="32"/>
          <w:szCs w:val="32"/>
        </w:rPr>
        <w:t>科学技术局</w:t>
      </w:r>
      <w:r>
        <w:rPr>
          <w:rFonts w:ascii="仿宋_GB2312" w:hAnsi="仿宋" w:eastAsia="仿宋_GB2312" w:cs="仿宋"/>
          <w:snapToGrid w:val="0"/>
          <w:color w:val="000000"/>
          <w:kern w:val="0"/>
          <w:sz w:val="32"/>
          <w:szCs w:val="32"/>
        </w:rPr>
        <w:t>负责解释。</w:t>
      </w:r>
    </w:p>
    <w:p w14:paraId="1A85604B">
      <w:pPr>
        <w:widowControl/>
        <w:kinsoku w:val="0"/>
        <w:autoSpaceDE w:val="0"/>
        <w:autoSpaceDN w:val="0"/>
        <w:adjustRightInd w:val="0"/>
        <w:snapToGrid w:val="0"/>
        <w:spacing w:line="360" w:lineRule="auto"/>
        <w:ind w:left="38" w:right="91" w:firstLine="632"/>
        <w:textAlignment w:val="baseline"/>
        <w:rPr>
          <w:rFonts w:hint="eastAsia" w:ascii="仿宋_GB2312" w:hAnsi="仿宋" w:eastAsia="仿宋_GB2312" w:cs="仿宋"/>
          <w:snapToGrid w:val="0"/>
          <w:color w:val="000000"/>
          <w:kern w:val="0"/>
          <w:sz w:val="32"/>
          <w:szCs w:val="32"/>
        </w:rPr>
      </w:pPr>
      <w:r>
        <w:rPr>
          <w:rFonts w:ascii="黑体" w:hAnsi="黑体" w:eastAsia="黑体" w:cs="黑体"/>
          <w:snapToGrid w:val="0"/>
          <w:color w:val="000000"/>
          <w:kern w:val="0"/>
          <w:sz w:val="31"/>
          <w:szCs w:val="31"/>
        </w:rPr>
        <w:t>第三十六条</w:t>
      </w:r>
      <w:r>
        <w:rPr>
          <w:rFonts w:hint="eastAsia" w:ascii="黑体" w:hAnsi="黑体" w:eastAsia="黑体" w:cs="黑体"/>
          <w:snapToGrid w:val="0"/>
          <w:color w:val="000000"/>
          <w:kern w:val="0"/>
          <w:sz w:val="31"/>
          <w:szCs w:val="31"/>
        </w:rPr>
        <w:t xml:space="preserve"> </w:t>
      </w:r>
      <w:r>
        <w:rPr>
          <w:rFonts w:ascii="仿宋_GB2312" w:hAnsi="仿宋" w:eastAsia="仿宋_GB2312" w:cs="仿宋"/>
          <w:snapToGrid w:val="0"/>
          <w:color w:val="000000"/>
          <w:kern w:val="0"/>
          <w:sz w:val="32"/>
          <w:szCs w:val="32"/>
        </w:rPr>
        <w:t>本办法自2024 年 x 月 x 日起实施，有效期</w:t>
      </w:r>
      <w:r>
        <w:rPr>
          <w:rFonts w:hint="eastAsia" w:ascii="仿宋_GB2312" w:hAnsi="仿宋" w:eastAsia="仿宋_GB2312" w:cs="仿宋"/>
          <w:snapToGrid w:val="0"/>
          <w:color w:val="000000"/>
          <w:kern w:val="0"/>
          <w:sz w:val="32"/>
          <w:szCs w:val="32"/>
        </w:rPr>
        <w:t xml:space="preserve"> </w:t>
      </w:r>
      <w:r>
        <w:rPr>
          <w:rFonts w:ascii="仿宋_GB2312" w:hAnsi="仿宋" w:eastAsia="仿宋_GB2312" w:cs="仿宋"/>
          <w:snapToGrid w:val="0"/>
          <w:color w:val="000000"/>
          <w:kern w:val="0"/>
          <w:sz w:val="32"/>
          <w:szCs w:val="32"/>
        </w:rPr>
        <w:t>年。</w:t>
      </w:r>
    </w:p>
    <w:bookmarkEnd w:id="0"/>
    <w:bookmarkEnd w:id="1"/>
    <w:p w14:paraId="75774928"/>
    <w:p w14:paraId="2D9D3B9D"/>
    <w:sectPr>
      <w:footerReference r:id="rId5" w:type="default"/>
      <w:pgSz w:w="11906" w:h="16839"/>
      <w:pgMar w:top="2098" w:right="1474" w:bottom="1985" w:left="1588" w:header="0" w:footer="1276" w:gutter="0"/>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6365319"/>
      <w:docPartObj>
        <w:docPartGallery w:val="AutoText"/>
      </w:docPartObj>
    </w:sdtPr>
    <w:sdtEndPr>
      <w:rPr>
        <w:rFonts w:ascii="Times New Roman" w:hAnsi="Times New Roman" w:cs="Times New Roman"/>
        <w:sz w:val="28"/>
        <w:szCs w:val="28"/>
      </w:rPr>
    </w:sdtEndPr>
    <w:sdtContent>
      <w:p w14:paraId="3A1F46E6">
        <w:pPr>
          <w:pStyle w:val="3"/>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p w14:paraId="73BFCFD0">
    <w:pPr>
      <w:pStyle w:val="3"/>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A5"/>
    <w:rsid w:val="00041692"/>
    <w:rsid w:val="00045501"/>
    <w:rsid w:val="000B4D03"/>
    <w:rsid w:val="000B71C4"/>
    <w:rsid w:val="001026F5"/>
    <w:rsid w:val="00120E74"/>
    <w:rsid w:val="001A1560"/>
    <w:rsid w:val="001C07CC"/>
    <w:rsid w:val="002C2B85"/>
    <w:rsid w:val="003E182A"/>
    <w:rsid w:val="004754AC"/>
    <w:rsid w:val="00691AA5"/>
    <w:rsid w:val="006C325C"/>
    <w:rsid w:val="00895DB4"/>
    <w:rsid w:val="008B50F0"/>
    <w:rsid w:val="00922EC5"/>
    <w:rsid w:val="00A038FD"/>
    <w:rsid w:val="00A52BA6"/>
    <w:rsid w:val="00A961B3"/>
    <w:rsid w:val="00B46E8E"/>
    <w:rsid w:val="00C10648"/>
    <w:rsid w:val="00D83864"/>
    <w:rsid w:val="00DB2ADA"/>
    <w:rsid w:val="00E12633"/>
    <w:rsid w:val="00EF2B52"/>
    <w:rsid w:val="00F66A9E"/>
    <w:rsid w:val="44767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
      <w:sz w:val="21"/>
      <w:szCs w:val="22"/>
      <w:lang w:val="en-US" w:eastAsia="zh-CN" w:bidi="ar-SA"/>
      <w14:ligatures w14:val="none"/>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semiHidden/>
    <w:unhideWhenUsed/>
    <w:qFormat/>
    <w:uiPriority w:val="99"/>
    <w:pPr>
      <w:spacing w:after="120"/>
    </w:pPr>
    <w:rPr>
      <w:rFonts w:asciiTheme="minorHAnsi" w:hAnsiTheme="minorHAnsi" w:eastAsiaTheme="minorEastAsia" w:cstheme="minorBidi"/>
    </w:rPr>
  </w:style>
  <w:style w:type="paragraph" w:styleId="3">
    <w:name w:val="footer"/>
    <w:basedOn w:val="1"/>
    <w:link w:val="9"/>
    <w:unhideWhenUsed/>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4">
    <w:name w:val="header"/>
    <w:basedOn w:val="1"/>
    <w:link w:val="8"/>
    <w:unhideWhenUsed/>
    <w:qFormat/>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正文文本 字符"/>
    <w:basedOn w:val="7"/>
    <w:link w:val="2"/>
    <w:semiHidden/>
    <w:qFormat/>
    <w:uiPriority w:val="99"/>
    <w:rPr>
      <w:sz w:val="21"/>
      <w:szCs w:val="22"/>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7207</Words>
  <Characters>7274</Characters>
  <Lines>53</Lines>
  <Paragraphs>15</Paragraphs>
  <TotalTime>79</TotalTime>
  <ScaleCrop>false</ScaleCrop>
  <LinksUpToDate>false</LinksUpToDate>
  <CharactersWithSpaces>7350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2024-12-02T09:13:00Z</dcterms:created>
  <dc:creator>Yajun Chen</dc:creator>
  <cp:lastModifiedBy>劳二猪</cp:lastModifiedBy>
  <cp:lastPrinted>2024-12-02T09:12:00Z</cp:lastPrinted>
  <dcterms:modified xsi:type="dcterms:W3CDTF">2024-12-03T04:52:34Z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68DF3F7821134F85B2340300D88025C2_13</vt:lpwstr>
  </property>
</Properties>
</file>