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240" w:lineRule="atLeast"/>
        <w:jc w:val="left"/>
        <w:rPr>
          <w:rFonts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附件1：</w:t>
      </w:r>
    </w:p>
    <w:p>
      <w:pPr>
        <w:adjustRightInd w:val="0"/>
        <w:snapToGrid w:val="0"/>
        <w:spacing w:line="240" w:lineRule="atLeast"/>
        <w:jc w:val="center"/>
        <w:rPr>
          <w:rFonts w:ascii="方正小标宋_GBK" w:hAnsi="宋体" w:eastAsia="方正小标宋_GBK"/>
          <w:color w:val="auto"/>
          <w:sz w:val="36"/>
          <w:szCs w:val="36"/>
          <w:highlight w:val="none"/>
        </w:rPr>
      </w:pPr>
      <w:r>
        <w:rPr>
          <w:rFonts w:ascii="方正小标宋_GBK" w:hAnsi="宋体" w:eastAsia="方正小标宋_GBK"/>
          <w:color w:val="auto"/>
          <w:sz w:val="36"/>
          <w:szCs w:val="36"/>
          <w:highlight w:val="none"/>
        </w:rPr>
        <w:t>20</w:t>
      </w:r>
      <w:r>
        <w:rPr>
          <w:rFonts w:hint="eastAsia" w:ascii="方正小标宋_GBK" w:hAnsi="宋体" w:eastAsia="方正小标宋_GBK"/>
          <w:color w:val="auto"/>
          <w:sz w:val="36"/>
          <w:szCs w:val="36"/>
          <w:highlight w:val="none"/>
        </w:rPr>
        <w:t>22</w:t>
      </w:r>
      <w:r>
        <w:rPr>
          <w:rFonts w:ascii="方正小标宋_GBK" w:hAnsi="宋体" w:eastAsia="方正小标宋_GBK"/>
          <w:color w:val="auto"/>
          <w:sz w:val="36"/>
          <w:szCs w:val="36"/>
          <w:highlight w:val="none"/>
        </w:rPr>
        <w:t>年苏州市</w:t>
      </w:r>
      <w:r>
        <w:rPr>
          <w:rFonts w:hint="eastAsia" w:ascii="方正小标宋_GBK" w:hAnsi="宋体" w:eastAsia="方正小标宋_GBK"/>
          <w:color w:val="auto"/>
          <w:sz w:val="36"/>
          <w:szCs w:val="36"/>
          <w:highlight w:val="none"/>
        </w:rPr>
        <w:t>产业前瞻与关键核心技术</w:t>
      </w:r>
      <w:r>
        <w:rPr>
          <w:rFonts w:ascii="方正小标宋_GBK" w:hAnsi="宋体" w:eastAsia="方正小标宋_GBK"/>
          <w:color w:val="auto"/>
          <w:sz w:val="36"/>
          <w:szCs w:val="36"/>
          <w:highlight w:val="none"/>
        </w:rPr>
        <w:t>项目指南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宋体" w:eastAsia="方正小标宋_GBK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_GBK" w:hAnsi="宋体" w:eastAsia="方正小标宋_GBK"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方正小标宋_GBK" w:hAnsi="宋体" w:eastAsia="方正小标宋_GBK"/>
          <w:color w:val="auto"/>
          <w:sz w:val="36"/>
          <w:szCs w:val="36"/>
          <w:highlight w:val="none"/>
          <w:lang w:val="en-US" w:eastAsia="zh-CN"/>
        </w:rPr>
        <w:t>征求意见稿</w:t>
      </w:r>
      <w:r>
        <w:rPr>
          <w:rFonts w:hint="eastAsia" w:ascii="方正小标宋_GBK" w:hAnsi="宋体" w:eastAsia="方正小标宋_GBK"/>
          <w:color w:val="auto"/>
          <w:sz w:val="36"/>
          <w:szCs w:val="36"/>
          <w:highlight w:val="none"/>
          <w:lang w:eastAsia="zh-CN"/>
        </w:rPr>
        <w:t>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一、产业前瞻技术研发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楷体_GB2312" w:hAnsi="Times New Roman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Times New Roman" w:eastAsia="楷体_GB2312"/>
          <w:b/>
          <w:color w:val="auto"/>
          <w:sz w:val="32"/>
          <w:szCs w:val="32"/>
          <w:highlight w:val="none"/>
        </w:rPr>
        <w:t>（一）数字创新专项</w:t>
      </w:r>
    </w:p>
    <w:p>
      <w:pPr>
        <w:numPr>
          <w:ilvl w:val="-1"/>
          <w:numId w:val="0"/>
        </w:numPr>
        <w:adjustRightInd w:val="0"/>
        <w:snapToGrid w:val="0"/>
        <w:spacing w:line="600" w:lineRule="atLeast"/>
        <w:ind w:firstLine="739" w:firstLineChars="230"/>
        <w:rPr>
          <w:rFonts w:hint="default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  <w:t>电子信息与材料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 基于RISC-V等开源架构CPU及第三方IP研发集成、高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val="en-US" w:eastAsia="zh-CN"/>
        </w:rPr>
        <w:t>算力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芯片和新型存储器芯片、极低功耗SoC芯片、光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val="en-US" w:eastAsia="zh-CN"/>
        </w:rPr>
        <w:t>电子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芯片、通信射频芯片、高性能显示芯片、高性能模拟芯片等高端芯片设计技术和智能化电子设计自动化（EDA）的平台设计技术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大尺寸低缺陷高纯度单晶硅片、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val="en-US" w:eastAsia="zh-CN"/>
        </w:rPr>
        <w:t>电子级多晶硅、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高功率密度封装及散热材料、高纯度化学试剂、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val="en-US" w:eastAsia="zh-CN"/>
        </w:rPr>
        <w:t>高精度掩膜版、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高端光刻胶、抛光液、溅射靶材等关键材料制备技术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氮化镓、碳化硅、氮化铝、金刚石、氧化镓等第三代半导体材料、器件与关键装备制造技术</w:t>
      </w:r>
    </w:p>
    <w:p>
      <w:pPr>
        <w:numPr>
          <w:ilvl w:val="-1"/>
          <w:numId w:val="0"/>
        </w:numPr>
        <w:adjustRightInd w:val="0"/>
        <w:snapToGrid w:val="0"/>
        <w:spacing w:line="600" w:lineRule="atLeast"/>
        <w:ind w:firstLine="643" w:firstLineChars="200"/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  <w:t>2.量子科技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210201 </w:t>
      </w:r>
      <w:r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  <w:t>量子密钥分发、量子中继、量子网关、量子存储、量子隐形传态等量子保密通信核心技术及关键设备研发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210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02 </w:t>
      </w:r>
      <w:r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  <w:t>量子比特大规模集成、超导量子计算、量子芯片、极低温微波链路等实用量子计算机关键技术及设备研发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210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03</w:t>
      </w:r>
      <w:r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  <w:t xml:space="preserve"> 量子系统人工精准调控、状态监测、量子传感等量子精密测量核心技术及关键设备研发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210204</w:t>
      </w:r>
      <w:r>
        <w:rPr>
          <w:rFonts w:hint="eastAsia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  <w:t xml:space="preserve"> 量子光源、单光子探测器、超低损耗光纤、量子信道共纤复用等量子信息传输关键技术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黑体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hAnsi="黑体" w:eastAsia="仿宋_GB2312"/>
          <w:b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  <w:t>智能网联与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</w:rPr>
        <w:t>网络通信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3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自动驾驶、智能网联车路协同、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val="en-US" w:eastAsia="zh-CN"/>
        </w:rPr>
        <w:t>车载操作系统、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智慧座舱、能源管理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车规级芯片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云控系统平台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环境感知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val="en-US" w:eastAsia="zh-CN"/>
        </w:rPr>
        <w:t>与信息交互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等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val="en-US" w:eastAsia="zh-CN"/>
        </w:rPr>
        <w:t>汽车执行与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智能化控制关键技术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3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6G移动通信、毫米波与太赫兹无线通信、空天地海融合、窄带物联网（NB-IoT）、光通信等关键技术与设备制造技术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3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下一代互联网（IPv6）、多网异构融合等关键技术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3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网络空间安全、网络安全监测预警、物联网、工业互联网安全防护及保密关键技术与设备研发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黑体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仿宋_GB2312" w:hAnsi="黑体" w:eastAsia="仿宋_GB2312"/>
          <w:b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</w:rPr>
        <w:t>大数据与区块链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01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区块链核心算法、开源底层平台软件及硬件、区块链存储、跨链通信与数据协同、身份认证及隐私保护、溯源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val="en-US" w:eastAsia="zh-CN"/>
        </w:rPr>
        <w:t>共享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应用等关键技术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02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大规模数据采集、分布式存储、软件定义存储、超融合基础架构等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val="en-US" w:eastAsia="zh-CN"/>
        </w:rPr>
        <w:t>海量数据采集存储关键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网络数据挖掘、数据可视化、跨网数据交换、大数据分析与治理等数据分析服务关键技术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隐私计算、数据脱敏、对称密码、公钥密码、数字签</w:t>
      </w:r>
    </w:p>
    <w:p>
      <w:pPr>
        <w:adjustRightInd w:val="0"/>
        <w:snapToGrid w:val="0"/>
        <w:spacing w:line="600" w:lineRule="atLeast"/>
        <w:ind w:firstLine="0" w:firstLineChars="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名等数据安全关键技术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5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新一代 E 级超算、存算一体、虚拟化计算、边缘计算、云计算系统和软件等高性能计算技术和系统研发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ind w:firstLine="643" w:firstLineChars="200"/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  <w:t>人工智能</w:t>
      </w:r>
    </w:p>
    <w:p>
      <w:pPr>
        <w:numPr>
          <w:ilvl w:val="-1"/>
          <w:numId w:val="0"/>
        </w:numPr>
        <w:adjustRightInd w:val="0"/>
        <w:snapToGrid w:val="0"/>
        <w:spacing w:line="600" w:lineRule="atLeast"/>
        <w:ind w:firstLine="643" w:firstLineChars="200"/>
        <w:rPr>
          <w:rFonts w:hint="default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仿宋_GB2312" w:hAnsi="Times New Roman" w:eastAsia="仿宋_GB2312"/>
          <w:color w:val="auto"/>
          <w:sz w:val="32"/>
          <w:szCs w:val="32"/>
          <w:highlight w:val="none"/>
        </w:rPr>
        <w:t>深度学习、强化学习等核心算法，以及 AI 科学计算、类脑计算、领域基础模型和通用人工智能等关键技术</w:t>
      </w:r>
    </w:p>
    <w:p>
      <w:pPr>
        <w:numPr>
          <w:ilvl w:val="-1"/>
          <w:numId w:val="0"/>
        </w:numPr>
        <w:adjustRightInd w:val="0"/>
        <w:snapToGrid w:val="0"/>
        <w:spacing w:line="600" w:lineRule="atLeast"/>
        <w:ind w:firstLine="643" w:firstLineChars="200"/>
        <w:rPr>
          <w:rFonts w:hint="default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仿宋_GB2312" w:hAnsi="Times New Roman" w:eastAsia="仿宋_GB2312"/>
          <w:color w:val="auto"/>
          <w:sz w:val="32"/>
          <w:szCs w:val="32"/>
          <w:highlight w:val="none"/>
        </w:rPr>
        <w:t>计算机视觉、智能语音、自然语言处理、自主无人系统等行业应用关键技术，以及基于昇腾等全栈国产 AI 软硬件平台的人工智能计算解决方案</w:t>
      </w:r>
    </w:p>
    <w:p>
      <w:pPr>
        <w:numPr>
          <w:ilvl w:val="-1"/>
          <w:numId w:val="0"/>
        </w:numPr>
        <w:adjustRightInd w:val="0"/>
        <w:snapToGrid w:val="0"/>
        <w:spacing w:line="600" w:lineRule="atLeast"/>
        <w:ind w:firstLine="643" w:firstLineChars="200"/>
        <w:rPr>
          <w:rFonts w:hint="default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default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default" w:ascii="仿宋_GB2312" w:hAnsi="Times New Roman" w:eastAsia="仿宋_GB2312"/>
          <w:b/>
          <w:color w:val="auto"/>
          <w:sz w:val="32"/>
          <w:szCs w:val="32"/>
          <w:highlight w:val="none"/>
        </w:rPr>
        <w:t xml:space="preserve">3 </w:t>
      </w:r>
      <w:r>
        <w:rPr>
          <w:rFonts w:hint="default" w:ascii="仿宋_GB2312" w:hAnsi="Times New Roman" w:eastAsia="仿宋_GB2312"/>
          <w:color w:val="auto"/>
          <w:sz w:val="32"/>
          <w:szCs w:val="32"/>
          <w:highlight w:val="none"/>
        </w:rPr>
        <w:t>嵌入式人工智能芯片、神经网络处理器（NPU）芯片、图形处理器（GPU）芯片等专用硬件和模组制造技术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Times New Roman" w:eastAsia="楷体_GB2312"/>
          <w:b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</w:rPr>
        <w:t>先进材料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Times New Roman" w:eastAsia="仿宋_GB2312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纳米发光材料、大尺寸柔性纳米触控膜、纳米传感器、高转化率纳米催化材料、纳米改性金属、纳米微球等新型纳米材料制备与应用关键技术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高强高模高韧碳纤维制备技术、高性能大丝束/巨丝束碳纤维制备技术与装备、碳纤维热塑性复合材料与高性能复合材料制造等关键技术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高品质石墨烯、生长石墨烯膜、碳纳米管、碳碳复合材料、富勒烯等绿色宏量制备与改性、跨界应用技术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新型金属材料制备及应用技术，功能合金、金属间化合物、低缺陷金属粉末、高性能聚合物、陶瓷材料等增材制造材料制备关键技术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黑体" w:hAnsi="黑体" w:eastAsia="黑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二、关键核心技术研发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楷体_GB2312" w:hAnsi="Times New Roman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Times New Roman" w:eastAsia="楷体_GB2312"/>
          <w:b/>
          <w:color w:val="auto"/>
          <w:sz w:val="32"/>
          <w:szCs w:val="32"/>
          <w:highlight w:val="none"/>
        </w:rPr>
        <w:t>（一）数字创新专项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黑体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</w:rPr>
        <w:t>1.电子信息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0101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3D显示、柔性显示、激光显示、Micro-LED显示、硅基OLED等新型显示技术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新一代功率半导体器件及模块、高压功率集成电路、高端传感器、微机电系统（MEMS）、大功率LED器件等先进制备工艺及装备制造技术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多芯片板级扇出封装、多芯片系统集成（SiP）封装及可靠性测试、三维堆叠式封装、光电合封、光芯合封等集成电路先进封装测试技术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010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自主可控操作系统和办公软件、工业软件、嵌入式软件等高端软件及硬件关键技术，增材制造大数据智能化设计制造软件系统</w:t>
      </w:r>
      <w:r>
        <w:rPr>
          <w:rFonts w:ascii="仿宋_GB2312" w:hAnsi="Times New Roman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default" w:ascii="仿宋_GB2312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  <w:t>人工智能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 xml:space="preserve">  虚拟现实（VR）、增强现实（AR）、混合现实（MR）、系统仿真、智能认知、人机交互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eastAsia="zh-CN"/>
        </w:rPr>
        <w:t>、人体机能增强、智能可穿戴设备、智能脑机接口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等人工智能关键技术及装备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黑体" w:eastAsia="仿宋_GB2312"/>
          <w:b w:val="0"/>
          <w:bCs/>
          <w:color w:val="auto"/>
          <w:sz w:val="32"/>
          <w:szCs w:val="32"/>
          <w:highlight w:val="none"/>
        </w:rPr>
        <w:t>国家新一代人工智能创新发展试验区建设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落实国家新一代人工智能创新发展试验区建设任务，支持人工智能协同创新工作，推动苏州市成为数字经济和人工智能应用高地。（定向组织）</w:t>
      </w:r>
    </w:p>
    <w:p>
      <w:pPr>
        <w:numPr>
          <w:ilvl w:val="0"/>
          <w:numId w:val="2"/>
        </w:numPr>
        <w:adjustRightInd w:val="0"/>
        <w:snapToGrid w:val="0"/>
        <w:spacing w:line="600" w:lineRule="atLeast"/>
        <w:ind w:firstLine="643" w:firstLineChars="200"/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highlight w:val="none"/>
          <w:lang w:val="en-US" w:eastAsia="zh-CN"/>
        </w:rPr>
        <w:t>智能机器人</w:t>
      </w:r>
    </w:p>
    <w:p>
      <w:pPr>
        <w:numPr>
          <w:ilvl w:val="-1"/>
          <w:numId w:val="0"/>
        </w:numPr>
        <w:adjustRightInd w:val="0"/>
        <w:snapToGrid w:val="0"/>
        <w:spacing w:line="600" w:lineRule="atLeast"/>
        <w:ind w:firstLine="643" w:firstLineChars="200"/>
        <w:rPr>
          <w:rFonts w:hint="default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仿宋_GB2312" w:hAnsi="Times New Roman" w:eastAsia="仿宋_GB2312"/>
          <w:color w:val="auto"/>
          <w:sz w:val="32"/>
          <w:szCs w:val="32"/>
          <w:highlight w:val="none"/>
        </w:rPr>
        <w:t>多模态人机自然交互、机器人智能操作系统、机器人联邦学习和智能协作等关键技术及软件</w:t>
      </w:r>
    </w:p>
    <w:p>
      <w:pPr>
        <w:numPr>
          <w:ilvl w:val="-1"/>
          <w:numId w:val="0"/>
        </w:num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hAnsi="Times New Roman" w:eastAsia="仿宋_GB2312"/>
          <w:b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仿宋_GB2312" w:hAnsi="Times New Roman" w:eastAsia="仿宋_GB2312"/>
          <w:color w:val="auto"/>
          <w:sz w:val="32"/>
          <w:szCs w:val="32"/>
          <w:highlight w:val="none"/>
        </w:rPr>
        <w:t>柔性触觉传感器、多关节工业机器人、高精度磁编码器、伺服控制器等关键部件制造技术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lang w:eastAsia="zh-CN"/>
        </w:rPr>
        <w:t>，</w:t>
      </w:r>
    </w:p>
    <w:p>
      <w:pPr>
        <w:numPr>
          <w:ilvl w:val="-1"/>
          <w:numId w:val="0"/>
        </w:numPr>
        <w:adjustRightInd w:val="0"/>
        <w:snapToGrid w:val="0"/>
        <w:spacing w:line="600" w:lineRule="atLeast"/>
        <w:ind w:firstLine="643" w:firstLineChars="200"/>
        <w:rPr>
          <w:rFonts w:hint="default" w:ascii="仿宋_GB2312" w:hAnsi="Times New Roman" w:eastAsia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Times New Roman" w:eastAsia="仿宋_GB2312"/>
          <w:b/>
          <w:color w:val="auto"/>
          <w:sz w:val="32"/>
          <w:szCs w:val="32"/>
          <w:highlight w:val="none"/>
          <w:lang w:val="en-US" w:eastAsia="zh-CN"/>
        </w:rPr>
        <w:t xml:space="preserve">220303 </w:t>
      </w:r>
      <w:r>
        <w:rPr>
          <w:rFonts w:hint="default" w:ascii="仿宋_GB2312" w:hAnsi="Times New Roman" w:eastAsia="仿宋_GB2312"/>
          <w:b w:val="0"/>
          <w:color w:val="auto"/>
          <w:sz w:val="32"/>
          <w:szCs w:val="32"/>
          <w:highlight w:val="none"/>
          <w:lang w:val="en-US" w:eastAsia="zh-CN"/>
        </w:rPr>
        <w:t>服务机器人、</w:t>
      </w:r>
      <w:r>
        <w:rPr>
          <w:rFonts w:hint="default" w:ascii="仿宋_GB2312" w:hAnsi="Times New Roman" w:eastAsia="仿宋_GB2312"/>
          <w:color w:val="auto"/>
          <w:sz w:val="32"/>
          <w:szCs w:val="32"/>
          <w:highlight w:val="none"/>
        </w:rPr>
        <w:t>先进工业机器人、特种机器人整机设计制造关键技术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楷体_GB2312" w:hAnsi="Times New Roman" w:eastAsia="楷体_GB2312"/>
          <w:b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auto"/>
          <w:sz w:val="32"/>
          <w:szCs w:val="32"/>
        </w:rPr>
        <w:t>（二）</w:t>
      </w:r>
      <w:r>
        <w:rPr>
          <w:rFonts w:hint="eastAsia" w:ascii="楷体_GB2312" w:hAnsi="Times New Roman" w:eastAsia="楷体_GB2312"/>
          <w:b/>
          <w:snapToGrid/>
          <w:color w:val="auto"/>
          <w:kern w:val="2"/>
          <w:sz w:val="32"/>
          <w:szCs w:val="32"/>
        </w:rPr>
        <w:t>装备制造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01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磁悬浮轴承、高端液压（气动）件、高性能密封件、微小型液压件等高性能机械基础件设计制造技术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02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超精密加工及铸造、微纳跨尺度制造、多工艺复合加工、高精度光学器件加工、机器视觉智能检测等先进制造工艺及装备制造技术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高端数控机床、大吨位智能化工程机械、高精度智能装备、智能化大型海工装备及高技术船舶、轨道交通装备、航空发动机等大型整机装备设计、控制软件及系统集成技术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04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网络协同制造、按需制造、数字孪生及虚拟制造等智能制造关键技术及软件系统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05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轨道交通控制系统、关键部件及整车制造技术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新能源车整车智能化集成及轻量化设计及制造技术，分布式驱动电机、混合动力驱动系统、固态激光雷达等电机、电控关键技术及部件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增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减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材制造关键技术、增材制造先进加工工艺及关键设备制造技术</w:t>
      </w:r>
    </w:p>
    <w:p>
      <w:pPr>
        <w:numPr>
          <w:ilvl w:val="0"/>
          <w:numId w:val="3"/>
        </w:numPr>
        <w:adjustRightInd w:val="0"/>
        <w:snapToGrid w:val="0"/>
        <w:spacing w:line="600" w:lineRule="atLeast"/>
        <w:ind w:firstLine="643" w:firstLineChars="200"/>
        <w:rPr>
          <w:rFonts w:hint="eastAsia" w:ascii="楷体_GB2312" w:hAnsi="Times New Roman" w:eastAsia="楷体_GB2312"/>
          <w:b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auto"/>
          <w:sz w:val="32"/>
          <w:szCs w:val="32"/>
          <w:lang w:val="en-US" w:eastAsia="zh-CN"/>
        </w:rPr>
        <w:t>先进</w:t>
      </w:r>
      <w:r>
        <w:rPr>
          <w:rFonts w:hint="eastAsia" w:ascii="楷体_GB2312" w:hAnsi="Times New Roman" w:eastAsia="楷体_GB2312"/>
          <w:b/>
          <w:color w:val="auto"/>
          <w:sz w:val="32"/>
          <w:szCs w:val="32"/>
        </w:rPr>
        <w:t>材料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01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高端光电子材料、柔性电子材料、半导体激光器材料、新型显示材料、高性能传感器材料等新型电子材料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高弹性、耐磨性、耐热性新型功能高分子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特种高分子材料的制备及应用技术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新型稀土功能材料、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高性能膜材料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、金属有机框架（MOF）、生物基可降解塑料及助剂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超材料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等新型功能材料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与智能材料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制备技术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高温合金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与特种合金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、高强高韧铝合金、高性能镁合金、高性能钛合金、高强度特种钢等新型结构材料制备技术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陶瓷基复合材料、高性能纤维及复合材料等新型结构材料制备技术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高通量计算方法及平台、高通量制备与表征评价、材料大数据、人工智能材料设计等材料基因组关键技术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楷体_GB2312" w:hAnsi="Times New Roman" w:eastAsia="楷体_GB2312"/>
          <w:b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auto"/>
          <w:sz w:val="32"/>
          <w:szCs w:val="32"/>
        </w:rPr>
        <w:t>（</w:t>
      </w:r>
      <w:r>
        <w:rPr>
          <w:rFonts w:hint="eastAsia" w:ascii="楷体_GB2312" w:hAnsi="Times New Roman" w:eastAsia="楷体_GB2312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楷体_GB2312" w:hAnsi="Times New Roman" w:eastAsia="楷体_GB2312"/>
          <w:b/>
          <w:color w:val="auto"/>
          <w:sz w:val="32"/>
          <w:szCs w:val="32"/>
        </w:rPr>
        <w:t>）安全生产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206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1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安全生产信息化、灾害事故监测预警、危险气体泄漏检测及精准定位、生命探测等灾害预警侦测、智慧安检、轨道交通安全检测系统等关键技术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206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 xml:space="preserve">2 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危险环境作业、安全巡检、应急救援等机器人，高机动救援成套化装备等安全生产智能装备制造技术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206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 xml:space="preserve">3  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便携式自组网通信、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先进遥感、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远距离透地通信及人员精准定位、井下水下远距离救援通信等应急救援通信关键技术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206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4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危化品贮槽应急堵漏、危险气体泄漏安全环保处置、险恶环境灭火救援等灾害应急处置关键技术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楷体_GB2312" w:hAnsi="Times New Roman" w:eastAsia="楷体_GB2312"/>
          <w:b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auto"/>
          <w:sz w:val="32"/>
          <w:szCs w:val="32"/>
        </w:rPr>
        <w:t>（</w:t>
      </w:r>
      <w:r>
        <w:rPr>
          <w:rFonts w:hint="eastAsia" w:ascii="楷体_GB2312" w:hAnsi="Times New Roman" w:eastAsia="楷体_GB2312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_GB2312" w:hAnsi="Times New Roman" w:eastAsia="楷体_GB2312"/>
          <w:b/>
          <w:color w:val="auto"/>
          <w:sz w:val="32"/>
          <w:szCs w:val="32"/>
        </w:rPr>
        <w:t>）其他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207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1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文化科技融合支撑技术及产品研发</w:t>
      </w:r>
    </w:p>
    <w:p>
      <w:pPr>
        <w:adjustRightInd w:val="0"/>
        <w:snapToGrid w:val="0"/>
        <w:spacing w:line="600" w:lineRule="atLeas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207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02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军民融合技术及产品研发</w:t>
      </w:r>
    </w:p>
    <w:p>
      <w:pPr>
        <w:adjustRightInd w:val="0"/>
        <w:snapToGrid w:val="0"/>
        <w:spacing w:line="600" w:lineRule="atLeast"/>
        <w:ind w:firstLine="643" w:firstLineChars="200"/>
        <w:rPr>
          <w:color w:val="auto"/>
          <w:highlight w:val="none"/>
        </w:rPr>
      </w:pP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207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0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 除上述所列技术方向外，其他技术创新性高、突破性强、带动性大的创新关键核心技术</w:t>
      </w:r>
    </w:p>
    <w:sectPr>
      <w:footerReference r:id="rId3" w:type="default"/>
      <w:pgSz w:w="11906" w:h="16838"/>
      <w:pgMar w:top="1418" w:right="1418" w:bottom="1418" w:left="1418" w:header="0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350710"/>
    <w:multiLevelType w:val="singleLevel"/>
    <w:tmpl w:val="C635071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F74C46"/>
    <w:multiLevelType w:val="singleLevel"/>
    <w:tmpl w:val="EFF74C46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15A6C766"/>
    <w:multiLevelType w:val="singleLevel"/>
    <w:tmpl w:val="15A6C766"/>
    <w:lvl w:ilvl="0" w:tentative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A0"/>
    <w:rsid w:val="000F64E3"/>
    <w:rsid w:val="003071A0"/>
    <w:rsid w:val="004D36A1"/>
    <w:rsid w:val="0063103B"/>
    <w:rsid w:val="007931B3"/>
    <w:rsid w:val="00BC04F8"/>
    <w:rsid w:val="00BD1EF7"/>
    <w:rsid w:val="00BF0D17"/>
    <w:rsid w:val="00F57DF4"/>
    <w:rsid w:val="0A2C13AD"/>
    <w:rsid w:val="15AC6880"/>
    <w:rsid w:val="17EC36F1"/>
    <w:rsid w:val="1A0F7260"/>
    <w:rsid w:val="1F4372AB"/>
    <w:rsid w:val="22757829"/>
    <w:rsid w:val="262649A4"/>
    <w:rsid w:val="2E370B69"/>
    <w:rsid w:val="342F6732"/>
    <w:rsid w:val="4EE800D9"/>
    <w:rsid w:val="56BE287B"/>
    <w:rsid w:val="685267B0"/>
    <w:rsid w:val="6BB77DC3"/>
    <w:rsid w:val="75BB4369"/>
    <w:rsid w:val="787451B1"/>
    <w:rsid w:val="795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uiPriority w:val="0"/>
    <w:pPr>
      <w:jc w:val="left"/>
    </w:pPr>
    <w:rPr>
      <w:rFonts w:ascii="仿宋_GB2312" w:hAnsi="Times New Roman" w:eastAsia="仿宋_GB2312"/>
      <w:b/>
      <w:sz w:val="28"/>
      <w:szCs w:val="20"/>
    </w:rPr>
  </w:style>
  <w:style w:type="paragraph" w:styleId="3">
    <w:name w:val="Plain Text"/>
    <w:basedOn w:val="1"/>
    <w:link w:val="18"/>
    <w:uiPriority w:val="0"/>
    <w:rPr>
      <w:rFonts w:ascii="宋体" w:hAnsi="Courier New" w:eastAsiaTheme="minorEastAsia" w:cstheme="minorBidi"/>
      <w:szCs w:val="22"/>
    </w:rPr>
  </w:style>
  <w:style w:type="paragraph" w:styleId="4">
    <w:name w:val="Balloon Text"/>
    <w:basedOn w:val="1"/>
    <w:link w:val="16"/>
    <w:semiHidden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Theme="minorEastAsia" w:cstheme="minorBidi"/>
      <w:b/>
      <w:bCs/>
      <w:kern w:val="28"/>
      <w:sz w:val="32"/>
      <w:szCs w:val="32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0"/>
    <w:rPr>
      <w:rFonts w:cs="Times New Roman"/>
    </w:rPr>
  </w:style>
  <w:style w:type="character" w:styleId="13">
    <w:name w:val="Hyperlink"/>
    <w:uiPriority w:val="0"/>
    <w:rPr>
      <w:rFonts w:cs="Times New Roman"/>
      <w:color w:val="0000FF"/>
      <w:u w:val="single"/>
    </w:rPr>
  </w:style>
  <w:style w:type="character" w:customStyle="1" w:styleId="14">
    <w:name w:val="页眉 Char"/>
    <w:basedOn w:val="11"/>
    <w:link w:val="6"/>
    <w:uiPriority w:val="0"/>
    <w:rPr>
      <w:sz w:val="18"/>
      <w:szCs w:val="18"/>
    </w:rPr>
  </w:style>
  <w:style w:type="character" w:customStyle="1" w:styleId="15">
    <w:name w:val="页脚 Char"/>
    <w:basedOn w:val="11"/>
    <w:link w:val="5"/>
    <w:uiPriority w:val="0"/>
    <w:rPr>
      <w:sz w:val="18"/>
      <w:szCs w:val="18"/>
    </w:rPr>
  </w:style>
  <w:style w:type="character" w:customStyle="1" w:styleId="16">
    <w:name w:val="批注框文本 Char"/>
    <w:link w:val="4"/>
    <w:semiHidden/>
    <w:locked/>
    <w:uiPriority w:val="0"/>
    <w:rPr>
      <w:sz w:val="18"/>
      <w:szCs w:val="18"/>
    </w:rPr>
  </w:style>
  <w:style w:type="character" w:customStyle="1" w:styleId="17">
    <w:name w:val="副标题 Char"/>
    <w:link w:val="7"/>
    <w:locked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18">
    <w:name w:val="纯文本 Char"/>
    <w:link w:val="3"/>
    <w:locked/>
    <w:uiPriority w:val="0"/>
    <w:rPr>
      <w:rFonts w:ascii="宋体" w:hAnsi="Courier New"/>
    </w:rPr>
  </w:style>
  <w:style w:type="paragraph" w:customStyle="1" w:styleId="19">
    <w:name w:val="样式 主题词 + 段后: 8.85 磅 行距: 固定值 26 磅"/>
    <w:basedOn w:val="1"/>
    <w:uiPriority w:val="0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eastAsia="方正黑体_GBK" w:cs="宋体"/>
      <w:kern w:val="0"/>
      <w:sz w:val="32"/>
      <w:szCs w:val="32"/>
    </w:rPr>
  </w:style>
  <w:style w:type="character" w:customStyle="1" w:styleId="20">
    <w:name w:val="正文文本 Char"/>
    <w:basedOn w:val="11"/>
    <w:link w:val="2"/>
    <w:qFormat/>
    <w:uiPriority w:val="0"/>
    <w:rPr>
      <w:rFonts w:ascii="仿宋_GB2312" w:hAnsi="Times New Roman" w:eastAsia="仿宋_GB2312" w:cs="Times New Roman"/>
      <w:b/>
      <w:sz w:val="28"/>
      <w:szCs w:val="20"/>
    </w:rPr>
  </w:style>
  <w:style w:type="paragraph" w:customStyle="1" w:styleId="21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character" w:customStyle="1" w:styleId="22">
    <w:name w:val="副标题 Char1"/>
    <w:basedOn w:val="11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Batang" w:hAnsi="Batang" w:eastAsia="楷体_GB2312" w:cs="仿宋_GB2312"/>
      <w:color w:val="000000"/>
      <w:kern w:val="0"/>
      <w:sz w:val="28"/>
      <w:szCs w:val="28"/>
    </w:rPr>
  </w:style>
  <w:style w:type="character" w:customStyle="1" w:styleId="24">
    <w:name w:val="纯文本 Char1"/>
    <w:basedOn w:val="1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5">
    <w:name w:val="页脚 Char1"/>
    <w:basedOn w:val="11"/>
    <w:semiHidden/>
    <w:qFormat/>
    <w:uiPriority w:val="99"/>
    <w:rPr>
      <w:kern w:val="2"/>
      <w:sz w:val="18"/>
      <w:szCs w:val="18"/>
    </w:rPr>
  </w:style>
  <w:style w:type="character" w:customStyle="1" w:styleId="26">
    <w:name w:val="页眉 Char1"/>
    <w:basedOn w:val="11"/>
    <w:semiHidden/>
    <w:qFormat/>
    <w:uiPriority w:val="99"/>
    <w:rPr>
      <w:kern w:val="2"/>
      <w:sz w:val="18"/>
      <w:szCs w:val="18"/>
    </w:rPr>
  </w:style>
  <w:style w:type="character" w:customStyle="1" w:styleId="27">
    <w:name w:val="批注框文本 Char1"/>
    <w:basedOn w:val="1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8">
    <w:name w:val="列出段落11"/>
    <w:basedOn w:val="1"/>
    <w:qFormat/>
    <w:uiPriority w:val="0"/>
    <w:pPr>
      <w:ind w:firstLine="420" w:firstLineChars="200"/>
    </w:pPr>
  </w:style>
  <w:style w:type="paragraph" w:customStyle="1" w:styleId="29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30">
    <w:name w:val="a正文"/>
    <w:basedOn w:val="1"/>
    <w:qFormat/>
    <w:uiPriority w:val="0"/>
    <w:pPr>
      <w:snapToGrid w:val="0"/>
      <w:spacing w:line="520" w:lineRule="exact"/>
      <w:ind w:firstLine="640"/>
    </w:pPr>
    <w:rPr>
      <w:rFonts w:ascii="仿宋_GB2312" w:eastAsia="仿宋_GB2312" w:cs="仿宋_GB2312"/>
      <w:sz w:val="28"/>
      <w:szCs w:val="28"/>
    </w:rPr>
  </w:style>
  <w:style w:type="paragraph" w:styleId="31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342</Words>
  <Characters>1956</Characters>
  <Lines>16</Lines>
  <Paragraphs>4</Paragraphs>
  <TotalTime>1</TotalTime>
  <ScaleCrop>false</ScaleCrop>
  <LinksUpToDate>false</LinksUpToDate>
  <CharactersWithSpaces>2294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2020-06-16T04:41:00Z</dcterms:created>
  <dc:creator>NTKO</dc:creator>
  <cp:lastModifiedBy>user</cp:lastModifiedBy>
  <cp:lastPrinted>2022-05-24T03:00:54Z</cp:lastPrinted>
  <dcterms:modified xsi:type="dcterms:W3CDTF">2022-05-24T03:01:05Z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