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360" w:lineRule="auto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pStyle w:val="4"/>
        <w:snapToGrid w:val="0"/>
        <w:spacing w:line="360" w:lineRule="auto"/>
        <w:jc w:val="center"/>
        <w:rPr>
          <w:rFonts w:hint="eastAsia" w:ascii="宋体" w:hAnsi="宋体" w:eastAsia="宋体" w:cs="Times New Roman"/>
          <w:snapToGrid w:val="0"/>
          <w:color w:val="auto"/>
          <w:spacing w:val="-20"/>
          <w:sz w:val="40"/>
          <w:szCs w:val="32"/>
        </w:rPr>
      </w:pPr>
      <w:r>
        <w:rPr>
          <w:rFonts w:hint="eastAsia" w:ascii="宋体" w:hAnsi="宋体" w:eastAsia="宋体" w:cs="Times New Roman"/>
          <w:snapToGrid w:val="0"/>
          <w:color w:val="auto"/>
          <w:spacing w:val="-20"/>
          <w:sz w:val="40"/>
          <w:szCs w:val="32"/>
        </w:rPr>
        <w:t>有关说明及名词解释</w:t>
      </w:r>
    </w:p>
    <w:tbl>
      <w:tblPr>
        <w:tblStyle w:val="2"/>
        <w:tblW w:w="8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40"/>
        <w:gridCol w:w="1440"/>
        <w:gridCol w:w="394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60" w:lineRule="auto"/>
              <w:ind w:firstLine="640" w:firstLineChars="200"/>
              <w:rPr>
                <w:rFonts w:hint="eastAsia" w:ascii="仿宋_GB2312" w:hAnsi="仿宋" w:eastAsia="仿宋_GB2312" w:cs="宋体"/>
                <w:snapToGrid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Cs w:val="32"/>
              </w:rPr>
              <w:t>一、涉及危险化学品安全风险的行业品种目录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门类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大类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类别名称</w:t>
            </w:r>
          </w:p>
        </w:tc>
        <w:tc>
          <w:tcPr>
            <w:tcW w:w="3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涉及的典型危险化学品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pacing w:val="-8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pacing w:val="-8"/>
                <w:sz w:val="28"/>
                <w:szCs w:val="32"/>
              </w:rPr>
              <w:t>主要安全风险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科学研究和技术服务业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本门类包括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73-75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大类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研究和试验发展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研究试验使用的硫酸、盐酸、硝酸、氢氧化钠、氢氧化钾等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火灾、爆炸、中毒、腐蚀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jc w:val="center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74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专业技术服务业</w:t>
            </w: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1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）测试、监测、勘探等使用硫酸、盐酸、硝酸、氢氧化钠、氢氧化钾等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火灾、爆炸、中毒、腐蚀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2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）油气田勘探过程中使用硝铵炸药，丙烯酰胺等助剂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爆炸、腐蚀、中毒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3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）氢氟酸用于集成电路板制造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中毒、腐蚀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4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）金属器件电镀使用氰化钾、硫酸、盐酸等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中毒、腐蚀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/>
                <w:snapToGrid/>
                <w:sz w:val="28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snapToGrid/>
                <w:sz w:val="28"/>
                <w:szCs w:val="32"/>
              </w:rPr>
              <w:t>5</w:t>
            </w: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）电子元件焊接过程使用松香水等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400" w:lineRule="exact"/>
              <w:ind w:firstLine="0"/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snapToGrid/>
                <w:sz w:val="28"/>
                <w:szCs w:val="32"/>
              </w:rPr>
              <w:t>火灾、爆炸、中毒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二、危险化学品安全风险分布档案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对本单位的危险化学品进行统计后，对危险化学品进行风险分析评估，合理确定相关风险等级，将得到的结果建立档案。档案一般应包含危险化学品品种、数量、分布区域、主要风险类别、风险等级和管控措施等内容。采用的评估方法应附在档案中，档案应定期更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5A23"/>
    <w:rsid w:val="45A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2020-02-18T02:27:00Z</dcterms:created>
  <dc:creator>Administrator</dc:creator>
  <cp:lastModifiedBy>Administrator</cp:lastModifiedBy>
  <dcterms:modified xsi:type="dcterms:W3CDTF">2020-02-18T02:27:57Z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